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F8" w:rsidRDefault="00FC3BF8" w:rsidP="00DE0C2B">
      <w:pPr>
        <w:tabs>
          <w:tab w:val="left" w:pos="910"/>
        </w:tabs>
        <w:rPr>
          <w:rFonts w:ascii="Arial" w:hAnsi="Arial"/>
          <w:b/>
          <w:color w:val="000000"/>
          <w:sz w:val="26"/>
        </w:rPr>
      </w:pPr>
    </w:p>
    <w:p w:rsidR="00FB67CD" w:rsidRPr="003012B8" w:rsidRDefault="007F7F29" w:rsidP="00FC3BF8">
      <w:pPr>
        <w:tabs>
          <w:tab w:val="left" w:pos="910"/>
        </w:tabs>
        <w:jc w:val="center"/>
        <w:rPr>
          <w:rFonts w:ascii="Arial" w:hAnsi="Arial" w:cs="Arial"/>
          <w:b/>
          <w:color w:val="000000"/>
          <w:sz w:val="26"/>
          <w:szCs w:val="26"/>
          <w:lang w:val="el-GR"/>
        </w:rPr>
      </w:pPr>
      <w:r>
        <w:rPr>
          <w:rFonts w:ascii="Arial" w:hAnsi="Arial"/>
          <w:b/>
          <w:color w:val="000000"/>
          <w:sz w:val="26"/>
          <w:lang w:val="el-GR"/>
        </w:rPr>
        <w:t xml:space="preserve">Αποτελέσματα </w:t>
      </w:r>
      <w:r w:rsidR="00041F8B">
        <w:rPr>
          <w:rFonts w:ascii="Arial" w:hAnsi="Arial"/>
          <w:b/>
          <w:color w:val="000000"/>
          <w:sz w:val="26"/>
          <w:lang w:val="el-GR"/>
        </w:rPr>
        <w:t xml:space="preserve">μεγάλης </w:t>
      </w:r>
      <w:r>
        <w:rPr>
          <w:rFonts w:ascii="Arial" w:hAnsi="Arial"/>
          <w:b/>
          <w:color w:val="000000"/>
          <w:sz w:val="26"/>
          <w:lang w:val="el-GR"/>
        </w:rPr>
        <w:t xml:space="preserve">μελέτης δείχνουν ότι η φαρμακευτική ουσία </w:t>
      </w:r>
      <w:r w:rsidR="00D549BC" w:rsidRPr="003012B8">
        <w:rPr>
          <w:rFonts w:ascii="Arial" w:hAnsi="Arial"/>
          <w:b/>
          <w:color w:val="000000"/>
          <w:sz w:val="26"/>
          <w:lang w:val="el-GR"/>
        </w:rPr>
        <w:t xml:space="preserve">της </w:t>
      </w:r>
      <w:r w:rsidR="00D549BC">
        <w:rPr>
          <w:rFonts w:ascii="Arial" w:hAnsi="Arial"/>
          <w:b/>
          <w:color w:val="000000"/>
          <w:sz w:val="26"/>
        </w:rPr>
        <w:t>Novartis</w:t>
      </w:r>
      <w:r w:rsidR="00D549BC">
        <w:rPr>
          <w:rFonts w:ascii="Arial" w:hAnsi="Arial"/>
          <w:b/>
          <w:color w:val="000000"/>
          <w:sz w:val="26"/>
          <w:lang w:val="el-GR"/>
        </w:rPr>
        <w:t xml:space="preserve"> </w:t>
      </w:r>
      <w:proofErr w:type="spellStart"/>
      <w:r w:rsidR="00041F8B">
        <w:rPr>
          <w:rFonts w:ascii="Arial" w:hAnsi="Arial"/>
          <w:b/>
          <w:color w:val="000000"/>
          <w:sz w:val="26"/>
          <w:lang w:val="el-GR"/>
        </w:rPr>
        <w:t>σιπονιμόδη</w:t>
      </w:r>
      <w:proofErr w:type="spellEnd"/>
      <w:r w:rsidR="00D549BC">
        <w:rPr>
          <w:rFonts w:ascii="Arial" w:hAnsi="Arial"/>
          <w:b/>
          <w:color w:val="000000"/>
          <w:sz w:val="26"/>
          <w:lang w:val="el-GR"/>
        </w:rPr>
        <w:t xml:space="preserve"> </w:t>
      </w:r>
      <w:r w:rsidR="00041F8B">
        <w:rPr>
          <w:rFonts w:ascii="Arial" w:hAnsi="Arial"/>
          <w:b/>
          <w:color w:val="000000"/>
          <w:sz w:val="26"/>
          <w:lang w:val="el-GR"/>
        </w:rPr>
        <w:t>(</w:t>
      </w:r>
      <w:r w:rsidR="00B47D3F">
        <w:rPr>
          <w:rFonts w:ascii="Arial" w:hAnsi="Arial"/>
          <w:b/>
          <w:color w:val="000000"/>
          <w:sz w:val="26"/>
        </w:rPr>
        <w:t>BAF</w:t>
      </w:r>
      <w:r w:rsidR="00B47D3F" w:rsidRPr="003012B8">
        <w:rPr>
          <w:rFonts w:ascii="Arial" w:hAnsi="Arial"/>
          <w:b/>
          <w:color w:val="000000"/>
          <w:sz w:val="26"/>
          <w:lang w:val="el-GR"/>
        </w:rPr>
        <w:t>312</w:t>
      </w:r>
      <w:r w:rsidR="00041F8B">
        <w:rPr>
          <w:rFonts w:ascii="Arial" w:hAnsi="Arial"/>
          <w:b/>
          <w:color w:val="000000"/>
          <w:sz w:val="26"/>
          <w:lang w:val="el-GR"/>
        </w:rPr>
        <w:t>)</w:t>
      </w:r>
      <w:r w:rsidR="00B47D3F">
        <w:rPr>
          <w:rFonts w:ascii="Arial" w:hAnsi="Arial"/>
          <w:b/>
          <w:color w:val="000000"/>
          <w:sz w:val="26"/>
          <w:lang w:val="el-GR"/>
        </w:rPr>
        <w:t xml:space="preserve">, </w:t>
      </w:r>
      <w:r w:rsidR="00FB67CD" w:rsidRPr="003012B8">
        <w:rPr>
          <w:rFonts w:ascii="Arial" w:hAnsi="Arial"/>
          <w:b/>
          <w:color w:val="000000"/>
          <w:sz w:val="26"/>
          <w:lang w:val="el-GR"/>
        </w:rPr>
        <w:t xml:space="preserve">μειώνει τον κίνδυνο εξέλιξης της αναπηρίας </w:t>
      </w:r>
      <w:r w:rsidR="00B47D3F">
        <w:rPr>
          <w:rFonts w:ascii="Arial" w:hAnsi="Arial"/>
          <w:b/>
          <w:color w:val="000000"/>
          <w:sz w:val="26"/>
          <w:lang w:val="el-GR"/>
        </w:rPr>
        <w:t>σε</w:t>
      </w:r>
      <w:r w:rsidR="00FB67CD" w:rsidRPr="003012B8">
        <w:rPr>
          <w:rFonts w:ascii="Arial" w:hAnsi="Arial"/>
          <w:b/>
          <w:color w:val="000000"/>
          <w:sz w:val="26"/>
          <w:lang w:val="el-GR"/>
        </w:rPr>
        <w:t xml:space="preserve"> ασθενείς με </w:t>
      </w:r>
      <w:proofErr w:type="spellStart"/>
      <w:r w:rsidR="006577C0" w:rsidRPr="003012B8">
        <w:rPr>
          <w:rFonts w:ascii="Arial" w:hAnsi="Arial"/>
          <w:b/>
          <w:color w:val="000000"/>
          <w:sz w:val="26"/>
          <w:lang w:val="el-GR"/>
        </w:rPr>
        <w:t>Δ</w:t>
      </w:r>
      <w:r w:rsidR="00FB67CD" w:rsidRPr="003012B8">
        <w:rPr>
          <w:rFonts w:ascii="Arial" w:hAnsi="Arial"/>
          <w:b/>
          <w:color w:val="000000"/>
          <w:sz w:val="26"/>
          <w:lang w:val="el-GR"/>
        </w:rPr>
        <w:t>ευτεροπαθώς</w:t>
      </w:r>
      <w:proofErr w:type="spellEnd"/>
      <w:r w:rsidR="00FB67CD" w:rsidRPr="003012B8">
        <w:rPr>
          <w:rFonts w:ascii="Arial" w:hAnsi="Arial"/>
          <w:b/>
          <w:color w:val="000000"/>
          <w:sz w:val="26"/>
          <w:lang w:val="el-GR"/>
        </w:rPr>
        <w:t xml:space="preserve"> </w:t>
      </w:r>
      <w:r w:rsidR="006577C0" w:rsidRPr="003012B8">
        <w:rPr>
          <w:rFonts w:ascii="Arial" w:hAnsi="Arial"/>
          <w:b/>
          <w:color w:val="000000"/>
          <w:sz w:val="26"/>
          <w:lang w:val="el-GR"/>
        </w:rPr>
        <w:t>Π</w:t>
      </w:r>
      <w:r w:rsidR="00FB67CD" w:rsidRPr="003012B8">
        <w:rPr>
          <w:rFonts w:ascii="Arial" w:hAnsi="Arial"/>
          <w:b/>
          <w:color w:val="000000"/>
          <w:sz w:val="26"/>
          <w:lang w:val="el-GR"/>
        </w:rPr>
        <w:t>ροϊούσα Π</w:t>
      </w:r>
      <w:r w:rsidR="006577C0" w:rsidRPr="003012B8">
        <w:rPr>
          <w:rFonts w:ascii="Arial" w:hAnsi="Arial"/>
          <w:b/>
          <w:color w:val="000000"/>
          <w:sz w:val="26"/>
          <w:lang w:val="el-GR"/>
        </w:rPr>
        <w:t xml:space="preserve">ολλαπλή </w:t>
      </w:r>
      <w:r w:rsidR="00FB67CD" w:rsidRPr="003012B8">
        <w:rPr>
          <w:rFonts w:ascii="Arial" w:hAnsi="Arial"/>
          <w:b/>
          <w:color w:val="000000"/>
          <w:sz w:val="26"/>
          <w:lang w:val="el-GR"/>
        </w:rPr>
        <w:t>Σ</w:t>
      </w:r>
      <w:r w:rsidR="006577C0" w:rsidRPr="003012B8">
        <w:rPr>
          <w:rFonts w:ascii="Arial" w:hAnsi="Arial"/>
          <w:b/>
          <w:color w:val="000000"/>
          <w:sz w:val="26"/>
          <w:lang w:val="el-GR"/>
        </w:rPr>
        <w:t>κλήρυνση</w:t>
      </w:r>
    </w:p>
    <w:p w:rsidR="00EA31C2" w:rsidRPr="003012B8" w:rsidRDefault="00EA31C2" w:rsidP="00DE0C2B">
      <w:pPr>
        <w:tabs>
          <w:tab w:val="left" w:pos="910"/>
        </w:tabs>
        <w:rPr>
          <w:rFonts w:ascii="Arial" w:hAnsi="Arial" w:cs="Arial"/>
          <w:b/>
          <w:color w:val="000000"/>
          <w:sz w:val="26"/>
          <w:szCs w:val="26"/>
          <w:lang w:val="el-GR"/>
        </w:rPr>
      </w:pPr>
    </w:p>
    <w:p w:rsidR="005C633A" w:rsidRPr="003012B8" w:rsidRDefault="00B47D3F" w:rsidP="00FC3BF8">
      <w:pPr>
        <w:pStyle w:val="ListParagraph"/>
        <w:numPr>
          <w:ilvl w:val="0"/>
          <w:numId w:val="4"/>
        </w:numPr>
        <w:jc w:val="both"/>
        <w:rPr>
          <w:rFonts w:ascii="Arial" w:hAnsi="Arial" w:cs="Arial"/>
          <w:i/>
          <w:color w:val="000000"/>
          <w:sz w:val="22"/>
          <w:lang w:val="el-GR"/>
        </w:rPr>
      </w:pPr>
      <w:r>
        <w:rPr>
          <w:rFonts w:ascii="Arial" w:hAnsi="Arial"/>
          <w:i/>
          <w:color w:val="000000"/>
          <w:sz w:val="22"/>
          <w:lang w:val="el-GR"/>
        </w:rPr>
        <w:t>Αποτελέσματα</w:t>
      </w:r>
      <w:r w:rsidR="002F7EA2" w:rsidRPr="003012B8">
        <w:rPr>
          <w:rFonts w:ascii="Arial" w:hAnsi="Arial"/>
          <w:i/>
          <w:color w:val="000000"/>
          <w:sz w:val="22"/>
          <w:lang w:val="el-GR"/>
        </w:rPr>
        <w:t xml:space="preserve"> της μελέτης</w:t>
      </w:r>
      <w:r w:rsidR="002F7EA2" w:rsidRPr="003012B8">
        <w:rPr>
          <w:lang w:val="el-GR"/>
        </w:rPr>
        <w:t xml:space="preserve"> Ε</w:t>
      </w:r>
      <w:r w:rsidR="002F7EA2">
        <w:rPr>
          <w:rFonts w:ascii="Arial" w:hAnsi="Arial"/>
          <w:i/>
          <w:color w:val="000000"/>
          <w:sz w:val="22"/>
        </w:rPr>
        <w:t>XPAND</w:t>
      </w:r>
      <w:r w:rsidR="002F7EA2" w:rsidRPr="003012B8">
        <w:rPr>
          <w:rFonts w:ascii="Arial" w:hAnsi="Arial"/>
          <w:i/>
          <w:color w:val="000000"/>
          <w:sz w:val="22"/>
          <w:lang w:val="el-GR"/>
        </w:rPr>
        <w:t xml:space="preserve"> που παρουσιάστηκαν στο συνέδριο </w:t>
      </w:r>
      <w:r w:rsidR="002F7EA2">
        <w:rPr>
          <w:rFonts w:ascii="Arial" w:hAnsi="Arial"/>
          <w:i/>
          <w:color w:val="000000"/>
          <w:sz w:val="22"/>
        </w:rPr>
        <w:t>ECTRIMS</w:t>
      </w:r>
      <w:r>
        <w:rPr>
          <w:rFonts w:ascii="Arial" w:hAnsi="Arial"/>
          <w:i/>
          <w:color w:val="000000"/>
          <w:sz w:val="22"/>
          <w:lang w:val="el-GR"/>
        </w:rPr>
        <w:t>,</w:t>
      </w:r>
      <w:r w:rsidR="002F7EA2" w:rsidRPr="003012B8">
        <w:rPr>
          <w:rFonts w:ascii="Arial" w:hAnsi="Arial"/>
          <w:i/>
          <w:color w:val="000000"/>
          <w:sz w:val="22"/>
          <w:lang w:val="el-GR"/>
        </w:rPr>
        <w:t xml:space="preserve"> </w:t>
      </w:r>
      <w:r w:rsidR="00026F98">
        <w:rPr>
          <w:rFonts w:ascii="Arial" w:hAnsi="Arial"/>
          <w:i/>
          <w:color w:val="000000"/>
          <w:sz w:val="22"/>
          <w:lang w:val="el-GR"/>
        </w:rPr>
        <w:t>αποδεικνύουν</w:t>
      </w:r>
      <w:r w:rsidR="002F7EA2" w:rsidRPr="003012B8">
        <w:rPr>
          <w:rFonts w:ascii="Arial" w:hAnsi="Arial"/>
          <w:i/>
          <w:color w:val="000000"/>
          <w:sz w:val="22"/>
          <w:lang w:val="el-GR"/>
        </w:rPr>
        <w:t xml:space="preserve"> ότι η θεραπεία με </w:t>
      </w:r>
      <w:r w:rsidR="007F7F29">
        <w:rPr>
          <w:rFonts w:ascii="Arial" w:hAnsi="Arial"/>
          <w:i/>
          <w:color w:val="000000"/>
          <w:sz w:val="22"/>
          <w:lang w:val="el-GR"/>
        </w:rPr>
        <w:t>την</w:t>
      </w:r>
      <w:r w:rsidR="00E064DB">
        <w:rPr>
          <w:rFonts w:ascii="Arial" w:hAnsi="Arial"/>
          <w:i/>
          <w:color w:val="000000"/>
          <w:sz w:val="22"/>
          <w:lang w:val="el-GR"/>
        </w:rPr>
        <w:t xml:space="preserve"> νέ</w:t>
      </w:r>
      <w:r w:rsidR="007F7F29">
        <w:rPr>
          <w:rFonts w:ascii="Arial" w:hAnsi="Arial"/>
          <w:i/>
          <w:color w:val="000000"/>
          <w:sz w:val="22"/>
          <w:lang w:val="el-GR"/>
        </w:rPr>
        <w:t>α</w:t>
      </w:r>
      <w:r w:rsidR="00E064DB">
        <w:rPr>
          <w:rFonts w:ascii="Arial" w:hAnsi="Arial"/>
          <w:i/>
          <w:color w:val="000000"/>
          <w:sz w:val="22"/>
          <w:lang w:val="el-GR"/>
        </w:rPr>
        <w:t xml:space="preserve"> </w:t>
      </w:r>
      <w:r w:rsidR="007F7F29">
        <w:rPr>
          <w:rFonts w:ascii="Arial" w:hAnsi="Arial"/>
          <w:i/>
          <w:color w:val="000000"/>
          <w:sz w:val="22"/>
          <w:lang w:val="el-GR"/>
        </w:rPr>
        <w:t xml:space="preserve">ουσία </w:t>
      </w:r>
      <w:proofErr w:type="spellStart"/>
      <w:r w:rsidR="00E064DB">
        <w:rPr>
          <w:rFonts w:ascii="Arial" w:hAnsi="Arial"/>
          <w:i/>
          <w:color w:val="000000"/>
          <w:sz w:val="22"/>
          <w:lang w:val="el-GR"/>
        </w:rPr>
        <w:t>σιπονιμόδη</w:t>
      </w:r>
      <w:proofErr w:type="spellEnd"/>
      <w:r w:rsidR="00E064DB">
        <w:rPr>
          <w:rFonts w:ascii="Arial" w:hAnsi="Arial"/>
          <w:i/>
          <w:color w:val="000000"/>
          <w:sz w:val="22"/>
          <w:lang w:val="el-GR"/>
        </w:rPr>
        <w:t xml:space="preserve"> (</w:t>
      </w:r>
      <w:r w:rsidR="002F7EA2">
        <w:rPr>
          <w:rFonts w:ascii="Arial" w:hAnsi="Arial"/>
          <w:i/>
          <w:color w:val="000000"/>
          <w:sz w:val="22"/>
        </w:rPr>
        <w:t>BAF</w:t>
      </w:r>
      <w:r w:rsidR="002F7EA2" w:rsidRPr="003012B8">
        <w:rPr>
          <w:rFonts w:ascii="Arial" w:hAnsi="Arial"/>
          <w:i/>
          <w:color w:val="000000"/>
          <w:sz w:val="22"/>
          <w:lang w:val="el-GR"/>
        </w:rPr>
        <w:t>312</w:t>
      </w:r>
      <w:r w:rsidR="00E064DB">
        <w:rPr>
          <w:rFonts w:ascii="Arial" w:hAnsi="Arial"/>
          <w:i/>
          <w:color w:val="000000"/>
          <w:sz w:val="22"/>
          <w:lang w:val="el-GR"/>
        </w:rPr>
        <w:t xml:space="preserve">), </w:t>
      </w:r>
      <w:r w:rsidR="002F7EA2" w:rsidRPr="003012B8">
        <w:rPr>
          <w:rFonts w:ascii="Arial" w:hAnsi="Arial"/>
          <w:i/>
          <w:color w:val="000000"/>
          <w:sz w:val="22"/>
          <w:lang w:val="el-GR"/>
        </w:rPr>
        <w:t xml:space="preserve">μείωσε </w:t>
      </w:r>
      <w:r>
        <w:rPr>
          <w:rFonts w:ascii="Arial" w:hAnsi="Arial"/>
          <w:i/>
          <w:color w:val="000000"/>
          <w:sz w:val="22"/>
          <w:lang w:val="el-GR"/>
        </w:rPr>
        <w:t xml:space="preserve">σημαντικά </w:t>
      </w:r>
      <w:r w:rsidR="002F7EA2" w:rsidRPr="003012B8">
        <w:rPr>
          <w:rFonts w:ascii="Arial" w:hAnsi="Arial"/>
          <w:i/>
          <w:color w:val="000000"/>
          <w:sz w:val="22"/>
          <w:lang w:val="el-GR"/>
        </w:rPr>
        <w:t>τον κίνδυνο εξέλιξης της αναπηρίας</w:t>
      </w:r>
      <w:r>
        <w:rPr>
          <w:rFonts w:ascii="Arial" w:hAnsi="Arial"/>
          <w:i/>
          <w:color w:val="000000"/>
          <w:sz w:val="22"/>
          <w:lang w:val="el-GR"/>
        </w:rPr>
        <w:t xml:space="preserve">, </w:t>
      </w:r>
      <w:r w:rsidR="002F7EA2" w:rsidRPr="003012B8">
        <w:rPr>
          <w:rFonts w:ascii="Arial" w:hAnsi="Arial"/>
          <w:i/>
          <w:color w:val="000000"/>
          <w:sz w:val="22"/>
          <w:lang w:val="el-GR"/>
        </w:rPr>
        <w:t>έναντι του εικονικού φαρμάκου</w:t>
      </w:r>
      <w:r w:rsidR="00026F98">
        <w:rPr>
          <w:rFonts w:ascii="Arial" w:hAnsi="Arial"/>
          <w:i/>
          <w:color w:val="000000"/>
          <w:sz w:val="22"/>
          <w:lang w:val="el-GR"/>
        </w:rPr>
        <w:t>,</w:t>
      </w:r>
      <w:r w:rsidR="002F7EA2" w:rsidRPr="003012B8">
        <w:rPr>
          <w:rFonts w:ascii="Arial" w:hAnsi="Arial"/>
          <w:i/>
          <w:color w:val="000000"/>
          <w:sz w:val="22"/>
          <w:lang w:val="el-GR"/>
        </w:rPr>
        <w:t xml:space="preserve"> σε α</w:t>
      </w:r>
      <w:r>
        <w:rPr>
          <w:rFonts w:ascii="Arial" w:hAnsi="Arial"/>
          <w:i/>
          <w:color w:val="000000"/>
          <w:sz w:val="22"/>
          <w:lang w:val="el-GR"/>
        </w:rPr>
        <w:t>σθενεί</w:t>
      </w:r>
      <w:r w:rsidR="002F7EA2" w:rsidRPr="003012B8">
        <w:rPr>
          <w:rFonts w:ascii="Arial" w:hAnsi="Arial"/>
          <w:i/>
          <w:color w:val="000000"/>
          <w:sz w:val="22"/>
          <w:lang w:val="el-GR"/>
        </w:rPr>
        <w:t xml:space="preserve">ς με </w:t>
      </w:r>
      <w:proofErr w:type="spellStart"/>
      <w:r w:rsidR="006577C0" w:rsidRPr="003012B8">
        <w:rPr>
          <w:rFonts w:ascii="Arial" w:hAnsi="Arial"/>
          <w:i/>
          <w:color w:val="000000"/>
          <w:sz w:val="22"/>
          <w:lang w:val="el-GR"/>
        </w:rPr>
        <w:t>Δ</w:t>
      </w:r>
      <w:r w:rsidR="002F7EA2" w:rsidRPr="003012B8">
        <w:rPr>
          <w:rFonts w:ascii="Arial" w:hAnsi="Arial"/>
          <w:i/>
          <w:color w:val="000000"/>
          <w:sz w:val="22"/>
          <w:lang w:val="el-GR"/>
        </w:rPr>
        <w:t>ευτεροπαθώς</w:t>
      </w:r>
      <w:proofErr w:type="spellEnd"/>
      <w:r w:rsidR="002F7EA2" w:rsidRPr="003012B8">
        <w:rPr>
          <w:rFonts w:ascii="Arial" w:hAnsi="Arial"/>
          <w:i/>
          <w:color w:val="000000"/>
          <w:sz w:val="22"/>
          <w:lang w:val="el-GR"/>
        </w:rPr>
        <w:t xml:space="preserve"> </w:t>
      </w:r>
      <w:r w:rsidR="006577C0" w:rsidRPr="003012B8">
        <w:rPr>
          <w:rFonts w:ascii="Arial" w:hAnsi="Arial"/>
          <w:i/>
          <w:color w:val="000000"/>
          <w:sz w:val="22"/>
          <w:lang w:val="el-GR"/>
        </w:rPr>
        <w:t>Π</w:t>
      </w:r>
      <w:r w:rsidR="002F7EA2" w:rsidRPr="003012B8">
        <w:rPr>
          <w:rFonts w:ascii="Arial" w:hAnsi="Arial"/>
          <w:i/>
          <w:color w:val="000000"/>
          <w:sz w:val="22"/>
          <w:lang w:val="el-GR"/>
        </w:rPr>
        <w:t xml:space="preserve">ροϊούσα </w:t>
      </w:r>
      <w:r w:rsidR="006577C0" w:rsidRPr="003012B8">
        <w:rPr>
          <w:rFonts w:ascii="Arial" w:hAnsi="Arial"/>
          <w:i/>
          <w:color w:val="000000"/>
          <w:sz w:val="22"/>
          <w:lang w:val="el-GR"/>
        </w:rPr>
        <w:t>Π</w:t>
      </w:r>
      <w:r w:rsidR="002F7EA2" w:rsidRPr="003012B8">
        <w:rPr>
          <w:rFonts w:ascii="Arial" w:hAnsi="Arial"/>
          <w:i/>
          <w:color w:val="000000"/>
          <w:sz w:val="22"/>
          <w:lang w:val="el-GR"/>
        </w:rPr>
        <w:t xml:space="preserve">ολλαπλή </w:t>
      </w:r>
      <w:r w:rsidR="006577C0" w:rsidRPr="003012B8">
        <w:rPr>
          <w:rFonts w:ascii="Arial" w:hAnsi="Arial"/>
          <w:i/>
          <w:color w:val="000000"/>
          <w:sz w:val="22"/>
          <w:lang w:val="el-GR"/>
        </w:rPr>
        <w:t>Σ</w:t>
      </w:r>
      <w:r w:rsidR="002F7EA2" w:rsidRPr="003012B8">
        <w:rPr>
          <w:rFonts w:ascii="Arial" w:hAnsi="Arial"/>
          <w:i/>
          <w:color w:val="000000"/>
          <w:sz w:val="22"/>
          <w:lang w:val="el-GR"/>
        </w:rPr>
        <w:t>κλήρυνση (</w:t>
      </w:r>
      <w:r w:rsidR="002F7EA2">
        <w:rPr>
          <w:rFonts w:ascii="Arial" w:hAnsi="Arial"/>
          <w:i/>
          <w:color w:val="000000"/>
          <w:sz w:val="22"/>
        </w:rPr>
        <w:t>SPMS</w:t>
      </w:r>
      <w:r w:rsidR="002F7EA2" w:rsidRPr="003012B8">
        <w:rPr>
          <w:rFonts w:ascii="Arial" w:hAnsi="Arial"/>
          <w:i/>
          <w:color w:val="000000"/>
          <w:sz w:val="22"/>
          <w:lang w:val="el-GR"/>
        </w:rPr>
        <w:t>)</w:t>
      </w:r>
    </w:p>
    <w:p w:rsidR="005C633A" w:rsidRPr="003012B8" w:rsidRDefault="005C633A" w:rsidP="00FC3BF8">
      <w:pPr>
        <w:pStyle w:val="ListParagraph"/>
        <w:ind w:left="360"/>
        <w:jc w:val="both"/>
        <w:rPr>
          <w:rFonts w:ascii="Arial" w:hAnsi="Arial" w:cs="Arial"/>
          <w:i/>
          <w:color w:val="000000"/>
          <w:sz w:val="22"/>
          <w:lang w:val="el-GR"/>
        </w:rPr>
      </w:pPr>
    </w:p>
    <w:p w:rsidR="005C633A" w:rsidRPr="003012B8" w:rsidRDefault="005C633A" w:rsidP="00FC3BF8">
      <w:pPr>
        <w:pStyle w:val="ListParagraph"/>
        <w:numPr>
          <w:ilvl w:val="0"/>
          <w:numId w:val="4"/>
        </w:numPr>
        <w:jc w:val="both"/>
        <w:rPr>
          <w:rFonts w:ascii="Arial" w:hAnsi="Arial" w:cs="Arial"/>
          <w:i/>
          <w:color w:val="000000"/>
          <w:sz w:val="22"/>
          <w:lang w:val="el-GR"/>
        </w:rPr>
      </w:pPr>
      <w:r w:rsidRPr="003012B8">
        <w:rPr>
          <w:rFonts w:ascii="Arial" w:hAnsi="Arial"/>
          <w:i/>
          <w:color w:val="000000"/>
          <w:sz w:val="22"/>
          <w:lang w:val="el-GR"/>
        </w:rPr>
        <w:t xml:space="preserve">Η </w:t>
      </w:r>
      <w:proofErr w:type="spellStart"/>
      <w:r w:rsidR="00E064DB" w:rsidRPr="003012B8">
        <w:rPr>
          <w:rFonts w:ascii="Arial" w:hAnsi="Arial"/>
          <w:i/>
          <w:color w:val="000000"/>
          <w:sz w:val="22"/>
          <w:lang w:val="el-GR"/>
        </w:rPr>
        <w:t>Δευτεροπαθώς</w:t>
      </w:r>
      <w:proofErr w:type="spellEnd"/>
      <w:r w:rsidR="00E064DB" w:rsidRPr="003012B8">
        <w:rPr>
          <w:rFonts w:ascii="Arial" w:hAnsi="Arial"/>
          <w:i/>
          <w:color w:val="000000"/>
          <w:sz w:val="22"/>
          <w:lang w:val="el-GR"/>
        </w:rPr>
        <w:t xml:space="preserve"> Προϊούσα Πολλαπλή Σκλήρυνση (</w:t>
      </w:r>
      <w:r w:rsidR="00E064DB">
        <w:rPr>
          <w:rFonts w:ascii="Arial" w:hAnsi="Arial"/>
          <w:i/>
          <w:color w:val="000000"/>
          <w:sz w:val="22"/>
        </w:rPr>
        <w:t>SPMS</w:t>
      </w:r>
      <w:r w:rsidR="00E064DB" w:rsidRPr="003012B8">
        <w:rPr>
          <w:rFonts w:ascii="Arial" w:hAnsi="Arial"/>
          <w:i/>
          <w:color w:val="000000"/>
          <w:sz w:val="22"/>
          <w:lang w:val="el-GR"/>
        </w:rPr>
        <w:t>)</w:t>
      </w:r>
      <w:r w:rsidRPr="003012B8">
        <w:rPr>
          <w:rFonts w:ascii="Arial" w:hAnsi="Arial"/>
          <w:i/>
          <w:color w:val="000000"/>
          <w:sz w:val="22"/>
          <w:lang w:val="el-GR"/>
        </w:rPr>
        <w:t xml:space="preserve"> είναι μια </w:t>
      </w:r>
      <w:r w:rsidR="003D10EB" w:rsidRPr="003012B8">
        <w:rPr>
          <w:rFonts w:ascii="Arial" w:hAnsi="Arial"/>
          <w:i/>
          <w:color w:val="000000"/>
          <w:sz w:val="22"/>
          <w:lang w:val="el-GR"/>
        </w:rPr>
        <w:t xml:space="preserve">προοδευτική </w:t>
      </w:r>
      <w:r w:rsidRPr="003012B8">
        <w:rPr>
          <w:rFonts w:ascii="Arial" w:hAnsi="Arial"/>
          <w:i/>
          <w:color w:val="000000"/>
          <w:sz w:val="22"/>
          <w:lang w:val="el-GR"/>
        </w:rPr>
        <w:t xml:space="preserve">μορφή της </w:t>
      </w:r>
      <w:r w:rsidR="00E064DB">
        <w:rPr>
          <w:rFonts w:ascii="Arial" w:hAnsi="Arial"/>
          <w:i/>
          <w:color w:val="000000"/>
          <w:sz w:val="22"/>
          <w:lang w:val="el-GR"/>
        </w:rPr>
        <w:t>νόσου</w:t>
      </w:r>
      <w:r w:rsidR="00B47D3F" w:rsidRPr="00E064DB">
        <w:rPr>
          <w:rFonts w:ascii="Arial" w:hAnsi="Arial"/>
          <w:i/>
          <w:color w:val="000000"/>
          <w:sz w:val="22"/>
          <w:lang w:val="el-GR"/>
        </w:rPr>
        <w:t xml:space="preserve"> π</w:t>
      </w:r>
      <w:r w:rsidRPr="003012B8">
        <w:rPr>
          <w:rFonts w:ascii="Arial" w:hAnsi="Arial"/>
          <w:i/>
          <w:color w:val="000000"/>
          <w:sz w:val="22"/>
          <w:lang w:val="el-GR"/>
        </w:rPr>
        <w:t>ου προ</w:t>
      </w:r>
      <w:r w:rsidR="00B47D3F" w:rsidRPr="00E064DB">
        <w:rPr>
          <w:rFonts w:ascii="Arial" w:hAnsi="Arial"/>
          <w:i/>
          <w:color w:val="000000"/>
          <w:sz w:val="22"/>
          <w:lang w:val="el-GR"/>
        </w:rPr>
        <w:t xml:space="preserve">καλεί </w:t>
      </w:r>
      <w:r w:rsidRPr="003012B8">
        <w:rPr>
          <w:rFonts w:ascii="Arial" w:hAnsi="Arial"/>
          <w:i/>
          <w:color w:val="000000"/>
          <w:sz w:val="22"/>
          <w:lang w:val="el-GR"/>
        </w:rPr>
        <w:t>σοβαρ</w:t>
      </w:r>
      <w:r w:rsidR="003D10EB" w:rsidRPr="003012B8">
        <w:rPr>
          <w:rFonts w:ascii="Arial" w:hAnsi="Arial"/>
          <w:i/>
          <w:color w:val="000000"/>
          <w:sz w:val="22"/>
          <w:lang w:val="el-GR"/>
        </w:rPr>
        <w:t>ή</w:t>
      </w:r>
      <w:r w:rsidRPr="003012B8">
        <w:rPr>
          <w:rFonts w:ascii="Arial" w:hAnsi="Arial"/>
          <w:i/>
          <w:color w:val="000000"/>
          <w:sz w:val="22"/>
          <w:lang w:val="el-GR"/>
        </w:rPr>
        <w:t xml:space="preserve"> αναπηρί</w:t>
      </w:r>
      <w:r w:rsidR="003D10EB" w:rsidRPr="003012B8">
        <w:rPr>
          <w:rFonts w:ascii="Arial" w:hAnsi="Arial"/>
          <w:i/>
          <w:color w:val="000000"/>
          <w:sz w:val="22"/>
          <w:lang w:val="el-GR"/>
        </w:rPr>
        <w:t>α</w:t>
      </w:r>
      <w:r w:rsidR="00E064DB">
        <w:rPr>
          <w:rFonts w:ascii="Arial" w:hAnsi="Arial"/>
          <w:i/>
          <w:color w:val="000000"/>
          <w:sz w:val="22"/>
          <w:lang w:val="el-GR"/>
        </w:rPr>
        <w:t xml:space="preserve">. Μέχρι σήμερα </w:t>
      </w:r>
      <w:r w:rsidR="00026F98">
        <w:rPr>
          <w:rFonts w:ascii="Arial" w:hAnsi="Arial"/>
          <w:i/>
          <w:color w:val="000000"/>
          <w:sz w:val="22"/>
          <w:lang w:val="el-GR"/>
        </w:rPr>
        <w:t>αυτή η πάθηση χαρακτηρίζεται από</w:t>
      </w:r>
      <w:r w:rsidR="003D10EB" w:rsidRPr="003012B8">
        <w:rPr>
          <w:rFonts w:ascii="Arial" w:hAnsi="Arial"/>
          <w:i/>
          <w:color w:val="000000"/>
          <w:sz w:val="22"/>
          <w:lang w:val="el-GR"/>
        </w:rPr>
        <w:t xml:space="preserve"> </w:t>
      </w:r>
      <w:r w:rsidRPr="003012B8">
        <w:rPr>
          <w:rFonts w:ascii="Arial" w:hAnsi="Arial"/>
          <w:i/>
          <w:color w:val="000000"/>
          <w:sz w:val="22"/>
          <w:lang w:val="el-GR"/>
        </w:rPr>
        <w:t>σημαντικ</w:t>
      </w:r>
      <w:r w:rsidR="007F7F29">
        <w:rPr>
          <w:rFonts w:ascii="Arial" w:hAnsi="Arial"/>
          <w:i/>
          <w:color w:val="000000"/>
          <w:sz w:val="22"/>
          <w:lang w:val="el-GR"/>
        </w:rPr>
        <w:t>ή</w:t>
      </w:r>
      <w:r w:rsidRPr="003012B8">
        <w:rPr>
          <w:rFonts w:ascii="Arial" w:hAnsi="Arial"/>
          <w:i/>
          <w:color w:val="000000"/>
          <w:sz w:val="22"/>
          <w:lang w:val="el-GR"/>
        </w:rPr>
        <w:t xml:space="preserve"> ανεκπλήρωτη ιατρική ανάγκη</w:t>
      </w:r>
      <w:r w:rsidR="00E064DB">
        <w:rPr>
          <w:rFonts w:ascii="Arial" w:hAnsi="Arial"/>
          <w:i/>
          <w:color w:val="000000"/>
          <w:sz w:val="22"/>
          <w:lang w:val="el-GR"/>
        </w:rPr>
        <w:t>, καθώς διαθέτουμε πολύ περιορισμένα μέτρα αντιμετώπισης της</w:t>
      </w:r>
    </w:p>
    <w:p w:rsidR="005C633A" w:rsidRPr="003012B8" w:rsidRDefault="005C633A" w:rsidP="00FC3BF8">
      <w:pPr>
        <w:jc w:val="both"/>
        <w:rPr>
          <w:rFonts w:ascii="Arial" w:hAnsi="Arial" w:cs="Arial"/>
          <w:i/>
          <w:color w:val="000000"/>
          <w:sz w:val="22"/>
          <w:lang w:val="el-GR"/>
        </w:rPr>
      </w:pPr>
    </w:p>
    <w:p w:rsidR="00B12912" w:rsidRPr="003012B8" w:rsidRDefault="005C633A" w:rsidP="00FC3BF8">
      <w:pPr>
        <w:pStyle w:val="ListParagraph"/>
        <w:numPr>
          <w:ilvl w:val="0"/>
          <w:numId w:val="4"/>
        </w:numPr>
        <w:jc w:val="both"/>
        <w:rPr>
          <w:rFonts w:ascii="Arial" w:hAnsi="Arial" w:cs="Arial"/>
          <w:i/>
          <w:color w:val="000000"/>
          <w:sz w:val="22"/>
          <w:lang w:val="el-GR"/>
        </w:rPr>
      </w:pPr>
      <w:r w:rsidRPr="003012B8">
        <w:rPr>
          <w:rFonts w:ascii="Arial" w:hAnsi="Arial"/>
          <w:i/>
          <w:color w:val="000000"/>
          <w:sz w:val="22"/>
          <w:lang w:val="el-GR"/>
        </w:rPr>
        <w:t xml:space="preserve">Η </w:t>
      </w:r>
      <w:r>
        <w:rPr>
          <w:rFonts w:ascii="Arial" w:hAnsi="Arial"/>
          <w:i/>
          <w:color w:val="000000"/>
          <w:sz w:val="22"/>
        </w:rPr>
        <w:t>Novartis</w:t>
      </w:r>
      <w:r w:rsidRPr="003012B8">
        <w:rPr>
          <w:rFonts w:ascii="Arial" w:hAnsi="Arial"/>
          <w:i/>
          <w:color w:val="000000"/>
          <w:sz w:val="22"/>
          <w:lang w:val="el-GR"/>
        </w:rPr>
        <w:t xml:space="preserve"> συνεχίζει να </w:t>
      </w:r>
      <w:r w:rsidR="00026F98">
        <w:rPr>
          <w:rFonts w:ascii="Arial" w:hAnsi="Arial"/>
          <w:i/>
          <w:color w:val="000000"/>
          <w:sz w:val="22"/>
          <w:lang w:val="el-GR"/>
        </w:rPr>
        <w:t xml:space="preserve">επενδύει </w:t>
      </w:r>
      <w:r w:rsidRPr="003012B8">
        <w:rPr>
          <w:rFonts w:ascii="Arial" w:hAnsi="Arial"/>
          <w:i/>
          <w:color w:val="000000"/>
          <w:sz w:val="22"/>
          <w:lang w:val="el-GR"/>
        </w:rPr>
        <w:t>στην εμπειρία και την τεχνογνωσία της για την Π</w:t>
      </w:r>
      <w:r w:rsidR="006577C0" w:rsidRPr="003012B8">
        <w:rPr>
          <w:rFonts w:ascii="Arial" w:hAnsi="Arial"/>
          <w:i/>
          <w:color w:val="000000"/>
          <w:sz w:val="22"/>
          <w:lang w:val="el-GR"/>
        </w:rPr>
        <w:t xml:space="preserve">ολλαπλή </w:t>
      </w:r>
      <w:r w:rsidRPr="003012B8">
        <w:rPr>
          <w:rFonts w:ascii="Arial" w:hAnsi="Arial"/>
          <w:i/>
          <w:color w:val="000000"/>
          <w:sz w:val="22"/>
          <w:lang w:val="el-GR"/>
        </w:rPr>
        <w:t>Σ</w:t>
      </w:r>
      <w:r w:rsidR="006577C0" w:rsidRPr="003012B8">
        <w:rPr>
          <w:rFonts w:ascii="Arial" w:hAnsi="Arial"/>
          <w:i/>
          <w:color w:val="000000"/>
          <w:sz w:val="22"/>
          <w:lang w:val="el-GR"/>
        </w:rPr>
        <w:t>κλήρυνση</w:t>
      </w:r>
      <w:r w:rsidR="00FC3BF8" w:rsidRPr="00FC3BF8">
        <w:rPr>
          <w:rFonts w:ascii="Arial" w:hAnsi="Arial"/>
          <w:i/>
          <w:color w:val="000000"/>
          <w:sz w:val="22"/>
          <w:lang w:val="el-GR"/>
        </w:rPr>
        <w:t xml:space="preserve"> </w:t>
      </w:r>
      <w:r w:rsidR="006577C0" w:rsidRPr="003012B8">
        <w:rPr>
          <w:rFonts w:ascii="Arial" w:hAnsi="Arial"/>
          <w:i/>
          <w:color w:val="000000"/>
          <w:sz w:val="22"/>
          <w:lang w:val="el-GR"/>
        </w:rPr>
        <w:t>(ΠΣ)</w:t>
      </w:r>
      <w:r w:rsidR="00CA6798">
        <w:rPr>
          <w:rFonts w:ascii="Arial" w:hAnsi="Arial"/>
          <w:i/>
          <w:color w:val="000000"/>
          <w:sz w:val="22"/>
          <w:lang w:val="el-GR"/>
        </w:rPr>
        <w:t xml:space="preserve">, </w:t>
      </w:r>
      <w:r w:rsidRPr="003012B8">
        <w:rPr>
          <w:rFonts w:ascii="Arial" w:hAnsi="Arial"/>
          <w:i/>
          <w:color w:val="000000"/>
          <w:sz w:val="22"/>
          <w:lang w:val="el-GR"/>
        </w:rPr>
        <w:t>με στόχο την αναβάθμιση της παρεχόμενης φροντίδας στους ανθρώπους που πάσχουν από την πάθηση</w:t>
      </w:r>
    </w:p>
    <w:p w:rsidR="00346952" w:rsidRPr="003012B8" w:rsidRDefault="00346952" w:rsidP="00346952">
      <w:pPr>
        <w:rPr>
          <w:rFonts w:ascii="Arial" w:hAnsi="Arial" w:cs="Arial"/>
          <w:i/>
          <w:color w:val="000000"/>
          <w:sz w:val="22"/>
          <w:lang w:val="el-GR"/>
        </w:rPr>
      </w:pPr>
    </w:p>
    <w:p w:rsidR="00B63975" w:rsidRPr="003012B8" w:rsidDel="00A13454" w:rsidRDefault="00FC3BF8" w:rsidP="00FC3BF8">
      <w:pPr>
        <w:autoSpaceDE w:val="0"/>
        <w:autoSpaceDN w:val="0"/>
        <w:adjustRightInd w:val="0"/>
        <w:jc w:val="both"/>
        <w:rPr>
          <w:rFonts w:cstheme="minorHAnsi"/>
          <w:bCs/>
          <w:color w:val="000000"/>
          <w:lang w:val="el-GR"/>
        </w:rPr>
      </w:pPr>
      <w:r>
        <w:rPr>
          <w:rFonts w:cstheme="minorHAnsi"/>
          <w:b/>
          <w:color w:val="000000"/>
          <w:lang w:val="el-GR"/>
        </w:rPr>
        <w:t xml:space="preserve">Αθήνα, </w:t>
      </w:r>
      <w:r w:rsidR="00F87224" w:rsidRPr="00F87224">
        <w:rPr>
          <w:rFonts w:cstheme="minorHAnsi"/>
          <w:b/>
          <w:color w:val="000000"/>
          <w:lang w:val="el-GR"/>
        </w:rPr>
        <w:t>23</w:t>
      </w:r>
      <w:r w:rsidR="00500737" w:rsidRPr="003012B8">
        <w:rPr>
          <w:rFonts w:cstheme="minorHAnsi"/>
          <w:b/>
          <w:color w:val="000000"/>
          <w:lang w:val="el-GR"/>
        </w:rPr>
        <w:t xml:space="preserve"> Σεπτεμβρίου 2016</w:t>
      </w:r>
      <w:r w:rsidR="00500737" w:rsidRPr="003012B8">
        <w:rPr>
          <w:rFonts w:cstheme="minorHAnsi"/>
          <w:color w:val="000000"/>
          <w:lang w:val="el-GR"/>
        </w:rPr>
        <w:t xml:space="preserve"> </w:t>
      </w:r>
      <w:r w:rsidR="00500737" w:rsidRPr="003012B8">
        <w:rPr>
          <w:rFonts w:cstheme="minorHAnsi"/>
          <w:b/>
          <w:lang w:val="el-GR"/>
        </w:rPr>
        <w:t xml:space="preserve">– </w:t>
      </w:r>
      <w:r w:rsidR="00500737" w:rsidRPr="003012B8">
        <w:rPr>
          <w:lang w:val="el-GR"/>
        </w:rPr>
        <w:t xml:space="preserve">Η </w:t>
      </w:r>
      <w:r w:rsidR="00500737">
        <w:rPr>
          <w:rFonts w:cstheme="minorHAnsi"/>
          <w:color w:val="000000"/>
        </w:rPr>
        <w:t>Novartis</w:t>
      </w:r>
      <w:r w:rsidR="00500737" w:rsidRPr="003012B8">
        <w:rPr>
          <w:rFonts w:cstheme="minorHAnsi"/>
          <w:color w:val="000000"/>
          <w:lang w:val="el-GR"/>
        </w:rPr>
        <w:t xml:space="preserve"> ανακοίνωσε θετικά αποτελέσματα από τη μελέτη </w:t>
      </w:r>
      <w:r w:rsidR="00500737">
        <w:rPr>
          <w:rFonts w:cstheme="minorHAnsi"/>
          <w:color w:val="000000"/>
        </w:rPr>
        <w:t>EXPAND</w:t>
      </w:r>
      <w:r w:rsidR="00500737" w:rsidRPr="003012B8">
        <w:rPr>
          <w:rFonts w:cstheme="minorHAnsi"/>
          <w:color w:val="000000"/>
          <w:lang w:val="el-GR"/>
        </w:rPr>
        <w:t xml:space="preserve"> φάσης ΙΙΙ, τα οποία </w:t>
      </w:r>
      <w:r w:rsidR="00041F8B">
        <w:rPr>
          <w:rFonts w:cstheme="minorHAnsi"/>
          <w:color w:val="000000"/>
          <w:lang w:val="el-GR"/>
        </w:rPr>
        <w:t>αποδεικνύου</w:t>
      </w:r>
      <w:r w:rsidR="00500737" w:rsidRPr="003012B8">
        <w:rPr>
          <w:rFonts w:cstheme="minorHAnsi"/>
          <w:color w:val="000000"/>
          <w:lang w:val="el-GR"/>
        </w:rPr>
        <w:t xml:space="preserve">ν ότι το από του στόματος, άπαξ ημερησίως λαμβανόμενο </w:t>
      </w:r>
      <w:r w:rsidR="00500737">
        <w:rPr>
          <w:rFonts w:cstheme="minorHAnsi"/>
          <w:color w:val="000000"/>
        </w:rPr>
        <w:t>BAF</w:t>
      </w:r>
      <w:r w:rsidR="00500737" w:rsidRPr="003012B8">
        <w:rPr>
          <w:rFonts w:cstheme="minorHAnsi"/>
          <w:color w:val="000000"/>
          <w:lang w:val="el-GR"/>
        </w:rPr>
        <w:t>312 (</w:t>
      </w:r>
      <w:proofErr w:type="spellStart"/>
      <w:r w:rsidR="00500737" w:rsidRPr="003012B8">
        <w:rPr>
          <w:rFonts w:cstheme="minorHAnsi"/>
          <w:color w:val="000000"/>
          <w:lang w:val="el-GR"/>
        </w:rPr>
        <w:t>σιπονιμόδη</w:t>
      </w:r>
      <w:proofErr w:type="spellEnd"/>
      <w:r w:rsidR="00500737" w:rsidRPr="003012B8">
        <w:rPr>
          <w:rFonts w:cstheme="minorHAnsi"/>
          <w:color w:val="000000"/>
          <w:lang w:val="el-GR"/>
        </w:rPr>
        <w:t xml:space="preserve">) μείωσε σημαντικά τον κίνδυνο εξέλιξης της αναπηρίας σε σύγκριση με το εικονικό φάρμακο σε ανθρώπους που πάσχουν από </w:t>
      </w:r>
      <w:proofErr w:type="spellStart"/>
      <w:r w:rsidR="006577C0" w:rsidRPr="003012B8">
        <w:rPr>
          <w:rFonts w:cstheme="minorHAnsi"/>
          <w:color w:val="000000"/>
          <w:lang w:val="el-GR"/>
        </w:rPr>
        <w:t>Δ</w:t>
      </w:r>
      <w:r w:rsidR="00500737" w:rsidRPr="003012B8">
        <w:rPr>
          <w:rFonts w:cstheme="minorHAnsi"/>
          <w:color w:val="000000"/>
          <w:lang w:val="el-GR"/>
        </w:rPr>
        <w:t>ευτεροπαθώς</w:t>
      </w:r>
      <w:proofErr w:type="spellEnd"/>
      <w:r w:rsidR="00500737" w:rsidRPr="003012B8">
        <w:rPr>
          <w:rFonts w:cstheme="minorHAnsi"/>
          <w:color w:val="000000"/>
          <w:lang w:val="el-GR"/>
        </w:rPr>
        <w:t xml:space="preserve"> </w:t>
      </w:r>
      <w:r w:rsidR="006577C0" w:rsidRPr="003012B8">
        <w:rPr>
          <w:rFonts w:cstheme="minorHAnsi"/>
          <w:color w:val="000000"/>
          <w:lang w:val="el-GR"/>
        </w:rPr>
        <w:t>Π</w:t>
      </w:r>
      <w:r w:rsidR="00500737" w:rsidRPr="003012B8">
        <w:rPr>
          <w:rFonts w:cstheme="minorHAnsi"/>
          <w:color w:val="000000"/>
          <w:lang w:val="el-GR"/>
        </w:rPr>
        <w:t xml:space="preserve">ροϊούσα </w:t>
      </w:r>
      <w:r w:rsidR="006577C0" w:rsidRPr="003012B8">
        <w:rPr>
          <w:rFonts w:cstheme="minorHAnsi"/>
          <w:color w:val="000000"/>
          <w:lang w:val="el-GR"/>
        </w:rPr>
        <w:t>Π</w:t>
      </w:r>
      <w:r w:rsidR="00500737" w:rsidRPr="003012B8">
        <w:rPr>
          <w:rFonts w:cstheme="minorHAnsi"/>
          <w:color w:val="000000"/>
          <w:lang w:val="el-GR"/>
        </w:rPr>
        <w:t xml:space="preserve">ολλαπλή </w:t>
      </w:r>
      <w:r w:rsidR="006577C0" w:rsidRPr="003012B8">
        <w:rPr>
          <w:rFonts w:cstheme="minorHAnsi"/>
          <w:color w:val="000000"/>
          <w:lang w:val="el-GR"/>
        </w:rPr>
        <w:t>Σ</w:t>
      </w:r>
      <w:r w:rsidR="00500737" w:rsidRPr="003012B8">
        <w:rPr>
          <w:rFonts w:cstheme="minorHAnsi"/>
          <w:color w:val="000000"/>
          <w:lang w:val="el-GR"/>
        </w:rPr>
        <w:t>κλήρυνση (</w:t>
      </w:r>
      <w:r w:rsidR="00500737">
        <w:rPr>
          <w:rFonts w:cstheme="minorHAnsi"/>
          <w:color w:val="000000"/>
        </w:rPr>
        <w:t>SPMS</w:t>
      </w:r>
      <w:r w:rsidR="00500737" w:rsidRPr="003012B8">
        <w:rPr>
          <w:rFonts w:cstheme="minorHAnsi"/>
          <w:color w:val="000000"/>
          <w:lang w:val="el-GR"/>
        </w:rPr>
        <w:t>).</w:t>
      </w:r>
      <w:r w:rsidR="00500737" w:rsidRPr="003012B8">
        <w:rPr>
          <w:rFonts w:cstheme="minorHAnsi"/>
          <w:color w:val="000000"/>
          <w:vertAlign w:val="superscript"/>
          <w:lang w:val="el-GR"/>
        </w:rPr>
        <w:t>1</w:t>
      </w:r>
      <w:r w:rsidR="00500737" w:rsidRPr="003012B8">
        <w:rPr>
          <w:vertAlign w:val="superscript"/>
          <w:lang w:val="el-GR"/>
        </w:rPr>
        <w:t xml:space="preserve"> </w:t>
      </w:r>
      <w:r w:rsidR="00500737" w:rsidRPr="003012B8">
        <w:rPr>
          <w:lang w:val="el-GR"/>
        </w:rPr>
        <w:t xml:space="preserve">Η </w:t>
      </w:r>
      <w:r w:rsidR="00500737">
        <w:rPr>
          <w:rFonts w:cstheme="minorHAnsi"/>
          <w:color w:val="000000"/>
        </w:rPr>
        <w:t>SPMS</w:t>
      </w:r>
      <w:r w:rsidR="00500737" w:rsidRPr="003012B8">
        <w:rPr>
          <w:rFonts w:cstheme="minorHAnsi"/>
          <w:color w:val="000000"/>
          <w:lang w:val="el-GR"/>
        </w:rPr>
        <w:t xml:space="preserve"> είναι μια μορφή ΠΣ που χαρακτηρίζεται από συνεχή επιδείνωση της νευρολογικής λειτουργίας με την πάροδο του χρόνου, </w:t>
      </w:r>
      <w:r w:rsidR="00CA6798">
        <w:rPr>
          <w:rFonts w:cstheme="minorHAnsi"/>
          <w:color w:val="000000"/>
          <w:lang w:val="el-GR"/>
        </w:rPr>
        <w:t xml:space="preserve">η οποία συμβαίνει </w:t>
      </w:r>
      <w:r w:rsidR="00500737" w:rsidRPr="003012B8">
        <w:rPr>
          <w:rFonts w:cstheme="minorHAnsi"/>
          <w:color w:val="000000"/>
          <w:lang w:val="el-GR"/>
        </w:rPr>
        <w:t xml:space="preserve">ανεξάρτητα από </w:t>
      </w:r>
      <w:r w:rsidR="003D10EB" w:rsidRPr="003012B8">
        <w:rPr>
          <w:rFonts w:cstheme="minorHAnsi"/>
          <w:color w:val="000000"/>
          <w:lang w:val="el-GR"/>
        </w:rPr>
        <w:t xml:space="preserve">τις </w:t>
      </w:r>
      <w:r w:rsidR="00500737" w:rsidRPr="003012B8">
        <w:rPr>
          <w:rFonts w:cstheme="minorHAnsi"/>
          <w:color w:val="000000"/>
          <w:lang w:val="el-GR"/>
        </w:rPr>
        <w:t>υποτροπές.</w:t>
      </w:r>
      <w:r w:rsidR="00500737" w:rsidRPr="003012B8">
        <w:rPr>
          <w:rFonts w:cstheme="minorHAnsi"/>
          <w:color w:val="000000"/>
          <w:vertAlign w:val="superscript"/>
          <w:lang w:val="el-GR"/>
        </w:rPr>
        <w:t>2</w:t>
      </w:r>
      <w:r w:rsidR="00500737" w:rsidRPr="003012B8">
        <w:rPr>
          <w:rFonts w:cstheme="minorHAnsi"/>
          <w:color w:val="000000"/>
          <w:lang w:val="el-GR"/>
        </w:rPr>
        <w:t xml:space="preserve"> Τα βασικά αποτελέσματα της </w:t>
      </w:r>
      <w:r w:rsidR="00500737">
        <w:rPr>
          <w:rFonts w:cstheme="minorHAnsi"/>
          <w:color w:val="000000"/>
        </w:rPr>
        <w:t>EXPAND</w:t>
      </w:r>
      <w:r w:rsidR="00500737" w:rsidRPr="003012B8">
        <w:rPr>
          <w:rFonts w:cstheme="minorHAnsi"/>
          <w:color w:val="000000"/>
          <w:lang w:val="el-GR"/>
        </w:rPr>
        <w:t xml:space="preserve"> παρουσιάστηκαν στο 32</w:t>
      </w:r>
      <w:r w:rsidR="00500737" w:rsidRPr="003012B8">
        <w:rPr>
          <w:rFonts w:cstheme="minorHAnsi"/>
          <w:color w:val="000000"/>
          <w:vertAlign w:val="superscript"/>
          <w:lang w:val="el-GR"/>
        </w:rPr>
        <w:t>ο</w:t>
      </w:r>
      <w:r w:rsidR="00500737" w:rsidRPr="003012B8">
        <w:rPr>
          <w:rFonts w:cstheme="minorHAnsi"/>
          <w:color w:val="000000"/>
          <w:lang w:val="el-GR"/>
        </w:rPr>
        <w:t xml:space="preserve"> </w:t>
      </w:r>
      <w:r w:rsidR="00500737" w:rsidRPr="007F1D9E">
        <w:rPr>
          <w:rFonts w:cstheme="minorHAnsi"/>
          <w:color w:val="000000"/>
          <w:lang w:val="el-GR"/>
        </w:rPr>
        <w:t>συνέδριο της Ευρωπαϊκής Επιτροπής</w:t>
      </w:r>
      <w:r w:rsidR="00500737" w:rsidRPr="003012B8">
        <w:rPr>
          <w:rFonts w:cstheme="minorHAnsi"/>
          <w:color w:val="000000"/>
          <w:lang w:val="el-GR"/>
        </w:rPr>
        <w:t xml:space="preserve"> για τη Θεραπεία και την Έρευνα της Πολλαπλής Σκλήρυνσης (</w:t>
      </w:r>
      <w:r w:rsidR="00500737">
        <w:rPr>
          <w:rFonts w:cstheme="minorHAnsi"/>
          <w:color w:val="000000"/>
        </w:rPr>
        <w:t>ECTRIMS</w:t>
      </w:r>
      <w:r w:rsidR="00500737" w:rsidRPr="003012B8">
        <w:rPr>
          <w:rFonts w:cstheme="minorHAnsi"/>
          <w:color w:val="000000"/>
          <w:lang w:val="el-GR"/>
        </w:rPr>
        <w:t xml:space="preserve">) στο Λονδίνο </w:t>
      </w:r>
      <w:r w:rsidR="00CA6798">
        <w:rPr>
          <w:rFonts w:cstheme="minorHAnsi"/>
          <w:color w:val="000000"/>
          <w:lang w:val="el-GR"/>
        </w:rPr>
        <w:t>την προηγούμενη εβδομάδα</w:t>
      </w:r>
      <w:r w:rsidR="00500737" w:rsidRPr="003012B8">
        <w:rPr>
          <w:rFonts w:cstheme="minorHAnsi"/>
          <w:color w:val="000000"/>
          <w:lang w:val="el-GR"/>
        </w:rPr>
        <w:t>.</w:t>
      </w:r>
    </w:p>
    <w:p w:rsidR="00C46637" w:rsidRPr="003012B8" w:rsidRDefault="00C46637" w:rsidP="00FC3BF8">
      <w:pPr>
        <w:autoSpaceDE w:val="0"/>
        <w:autoSpaceDN w:val="0"/>
        <w:adjustRightInd w:val="0"/>
        <w:jc w:val="both"/>
        <w:rPr>
          <w:rFonts w:cstheme="minorHAnsi"/>
          <w:bCs/>
          <w:color w:val="000000"/>
          <w:lang w:val="el-GR"/>
        </w:rPr>
      </w:pPr>
    </w:p>
    <w:p w:rsidR="005A0805" w:rsidRDefault="0096263A" w:rsidP="00FC3BF8">
      <w:pPr>
        <w:autoSpaceDE w:val="0"/>
        <w:autoSpaceDN w:val="0"/>
        <w:adjustRightInd w:val="0"/>
        <w:jc w:val="both"/>
        <w:rPr>
          <w:rFonts w:cstheme="minorHAnsi"/>
          <w:color w:val="000000"/>
          <w:lang w:val="el-GR"/>
        </w:rPr>
      </w:pPr>
      <w:r w:rsidRPr="003012B8">
        <w:rPr>
          <w:lang w:val="el-GR"/>
        </w:rPr>
        <w:t xml:space="preserve">Το </w:t>
      </w:r>
      <w:r>
        <w:rPr>
          <w:rFonts w:cstheme="minorHAnsi"/>
          <w:color w:val="000000"/>
        </w:rPr>
        <w:t>BAF</w:t>
      </w:r>
      <w:r w:rsidRPr="003012B8">
        <w:rPr>
          <w:rFonts w:cstheme="minorHAnsi"/>
          <w:color w:val="000000"/>
          <w:lang w:val="el-GR"/>
        </w:rPr>
        <w:t xml:space="preserve">312 είναι ένας επιστημονικά σχεδιασμένος, εκλεκτικός </w:t>
      </w:r>
      <w:proofErr w:type="spellStart"/>
      <w:r w:rsidRPr="003012B8">
        <w:rPr>
          <w:rFonts w:cstheme="minorHAnsi"/>
          <w:color w:val="000000"/>
          <w:lang w:val="el-GR"/>
        </w:rPr>
        <w:t>τροποποιητής</w:t>
      </w:r>
      <w:proofErr w:type="spellEnd"/>
      <w:r w:rsidRPr="003012B8">
        <w:rPr>
          <w:rFonts w:cstheme="minorHAnsi"/>
          <w:color w:val="000000"/>
          <w:lang w:val="el-GR"/>
        </w:rPr>
        <w:t xml:space="preserve"> του υποδοχέα της φωσφορικής σφιγγοσίνης-1 (</w:t>
      </w:r>
      <w:r>
        <w:rPr>
          <w:rFonts w:cstheme="minorHAnsi"/>
          <w:color w:val="000000"/>
        </w:rPr>
        <w:t>S</w:t>
      </w:r>
      <w:r w:rsidRPr="003012B8">
        <w:rPr>
          <w:rFonts w:cstheme="minorHAnsi"/>
          <w:color w:val="000000"/>
          <w:lang w:val="el-GR"/>
        </w:rPr>
        <w:t>1</w:t>
      </w:r>
      <w:r>
        <w:rPr>
          <w:rFonts w:cstheme="minorHAnsi"/>
          <w:color w:val="000000"/>
        </w:rPr>
        <w:t>P</w:t>
      </w:r>
      <w:r w:rsidRPr="003012B8">
        <w:rPr>
          <w:rFonts w:cstheme="minorHAnsi"/>
          <w:color w:val="000000"/>
          <w:lang w:val="el-GR"/>
        </w:rPr>
        <w:t>).</w:t>
      </w:r>
      <w:r w:rsidRPr="003012B8">
        <w:rPr>
          <w:rFonts w:ascii="Arial" w:hAnsi="Arial"/>
          <w:vertAlign w:val="superscript"/>
          <w:lang w:val="el-GR"/>
        </w:rPr>
        <w:t>3</w:t>
      </w:r>
      <w:r w:rsidRPr="003012B8">
        <w:rPr>
          <w:rFonts w:cstheme="minorHAnsi"/>
          <w:color w:val="000000"/>
          <w:vertAlign w:val="superscript"/>
          <w:lang w:val="el-GR"/>
        </w:rPr>
        <w:t xml:space="preserve"> </w:t>
      </w:r>
      <w:r w:rsidRPr="003012B8">
        <w:rPr>
          <w:rFonts w:cstheme="minorHAnsi"/>
          <w:color w:val="000000"/>
          <w:lang w:val="el-GR"/>
        </w:rPr>
        <w:t xml:space="preserve">Τα αρχικά στοιχεία από τη μελέτη </w:t>
      </w:r>
      <w:r>
        <w:rPr>
          <w:rFonts w:cstheme="minorHAnsi"/>
          <w:color w:val="000000"/>
        </w:rPr>
        <w:t>EXPAND</w:t>
      </w:r>
      <w:r w:rsidRPr="003012B8">
        <w:rPr>
          <w:rFonts w:cstheme="minorHAnsi"/>
          <w:color w:val="000000"/>
          <w:lang w:val="el-GR"/>
        </w:rPr>
        <w:t xml:space="preserve"> δείχνουν: </w:t>
      </w:r>
    </w:p>
    <w:p w:rsidR="00FC3BF8" w:rsidRPr="003012B8" w:rsidRDefault="00FC3BF8" w:rsidP="00FC3BF8">
      <w:pPr>
        <w:autoSpaceDE w:val="0"/>
        <w:autoSpaceDN w:val="0"/>
        <w:adjustRightInd w:val="0"/>
        <w:jc w:val="both"/>
        <w:rPr>
          <w:rFonts w:cstheme="minorHAnsi"/>
          <w:bCs/>
          <w:color w:val="000000"/>
          <w:lang w:val="el-GR"/>
        </w:rPr>
      </w:pPr>
    </w:p>
    <w:p w:rsidR="005A0805" w:rsidRPr="003012B8" w:rsidRDefault="00602A07" w:rsidP="00FC3BF8">
      <w:pPr>
        <w:pStyle w:val="ListParagraph"/>
        <w:numPr>
          <w:ilvl w:val="0"/>
          <w:numId w:val="10"/>
        </w:numPr>
        <w:autoSpaceDE w:val="0"/>
        <w:autoSpaceDN w:val="0"/>
        <w:adjustRightInd w:val="0"/>
        <w:jc w:val="both"/>
        <w:rPr>
          <w:rFonts w:cstheme="minorHAnsi"/>
          <w:bCs/>
          <w:color w:val="000000"/>
          <w:lang w:val="el-GR"/>
        </w:rPr>
      </w:pPr>
      <w:r w:rsidRPr="003012B8">
        <w:rPr>
          <w:rFonts w:cstheme="minorHAnsi"/>
          <w:color w:val="000000"/>
          <w:lang w:val="el-GR"/>
        </w:rPr>
        <w:t xml:space="preserve">Ότι η θεραπεία με το </w:t>
      </w:r>
      <w:r>
        <w:rPr>
          <w:rFonts w:cstheme="minorHAnsi"/>
          <w:color w:val="000000"/>
        </w:rPr>
        <w:t>BAF</w:t>
      </w:r>
      <w:r w:rsidRPr="003012B8">
        <w:rPr>
          <w:rFonts w:cstheme="minorHAnsi"/>
          <w:color w:val="000000"/>
          <w:lang w:val="el-GR"/>
        </w:rPr>
        <w:t>312 μείωσε τον κίνδυνο εξέλιξης της αναπηρίας με τρίμηνη επιβεβαίωση κατά 21% σε σύγκριση με το εικονικό φάρμακο (</w:t>
      </w:r>
      <w:r>
        <w:rPr>
          <w:rFonts w:cstheme="minorHAnsi"/>
          <w:color w:val="000000"/>
        </w:rPr>
        <w:t>p</w:t>
      </w:r>
      <w:r w:rsidRPr="003012B8">
        <w:rPr>
          <w:rFonts w:cstheme="minorHAnsi"/>
          <w:color w:val="000000"/>
          <w:lang w:val="el-GR"/>
        </w:rPr>
        <w:t>=0,013).</w:t>
      </w:r>
      <w:r w:rsidRPr="003012B8">
        <w:rPr>
          <w:rFonts w:cstheme="minorHAnsi"/>
          <w:color w:val="000000"/>
          <w:vertAlign w:val="superscript"/>
          <w:lang w:val="el-GR"/>
        </w:rPr>
        <w:t xml:space="preserve"> </w:t>
      </w:r>
      <w:r w:rsidR="00CA6798">
        <w:rPr>
          <w:rFonts w:cstheme="minorHAnsi"/>
          <w:color w:val="000000"/>
          <w:lang w:val="el-GR"/>
        </w:rPr>
        <w:t>Ακόμη</w:t>
      </w:r>
      <w:r w:rsidR="005A6E6A" w:rsidRPr="003012B8">
        <w:rPr>
          <w:rFonts w:cstheme="minorHAnsi"/>
          <w:color w:val="000000"/>
          <w:lang w:val="el-GR"/>
        </w:rPr>
        <w:t xml:space="preserve"> μεγαλύτερη</w:t>
      </w:r>
      <w:r w:rsidRPr="003012B8">
        <w:rPr>
          <w:rFonts w:cstheme="minorHAnsi"/>
          <w:color w:val="000000"/>
          <w:lang w:val="el-GR"/>
        </w:rPr>
        <w:t xml:space="preserve"> μείωση του κινδύνου εξέλιξης της αναπηρίας </w:t>
      </w:r>
      <w:r w:rsidR="00CA6798">
        <w:rPr>
          <w:rFonts w:cstheme="minorHAnsi"/>
          <w:color w:val="000000"/>
          <w:lang w:val="el-GR"/>
        </w:rPr>
        <w:t>έδειξε η</w:t>
      </w:r>
      <w:r w:rsidRPr="003012B8">
        <w:rPr>
          <w:rFonts w:cstheme="minorHAnsi"/>
          <w:color w:val="000000"/>
          <w:lang w:val="el-GR"/>
        </w:rPr>
        <w:t xml:space="preserve"> εξάμηνη επιβεβαίωση , </w:t>
      </w:r>
      <w:r w:rsidR="00CA6798">
        <w:rPr>
          <w:rFonts w:cstheme="minorHAnsi"/>
          <w:color w:val="000000"/>
          <w:lang w:val="el-GR"/>
        </w:rPr>
        <w:t>ενισχύοντας</w:t>
      </w:r>
      <w:r w:rsidRPr="003012B8">
        <w:rPr>
          <w:rFonts w:cstheme="minorHAnsi"/>
          <w:color w:val="000000"/>
          <w:lang w:val="el-GR"/>
        </w:rPr>
        <w:t xml:space="preserve"> </w:t>
      </w:r>
      <w:r w:rsidR="00171C5C">
        <w:rPr>
          <w:rFonts w:cstheme="minorHAnsi"/>
          <w:color w:val="000000"/>
          <w:lang w:val="el-GR"/>
        </w:rPr>
        <w:t xml:space="preserve">περαιτέρω </w:t>
      </w:r>
      <w:r w:rsidRPr="003012B8">
        <w:rPr>
          <w:rFonts w:cstheme="minorHAnsi"/>
          <w:color w:val="000000"/>
          <w:lang w:val="el-GR"/>
        </w:rPr>
        <w:t>την αξιοπιστία των στοιχείων.</w:t>
      </w:r>
      <w:r w:rsidRPr="003012B8">
        <w:rPr>
          <w:rFonts w:cstheme="minorHAnsi"/>
          <w:color w:val="000000"/>
          <w:vertAlign w:val="superscript"/>
          <w:lang w:val="el-GR"/>
        </w:rPr>
        <w:t>1</w:t>
      </w:r>
    </w:p>
    <w:p w:rsidR="001240E2" w:rsidRPr="003012B8" w:rsidRDefault="00602A07" w:rsidP="00FC3BF8">
      <w:pPr>
        <w:pStyle w:val="ListParagraph"/>
        <w:numPr>
          <w:ilvl w:val="0"/>
          <w:numId w:val="10"/>
        </w:numPr>
        <w:autoSpaceDE w:val="0"/>
        <w:autoSpaceDN w:val="0"/>
        <w:adjustRightInd w:val="0"/>
        <w:jc w:val="both"/>
        <w:rPr>
          <w:rFonts w:cstheme="minorHAnsi"/>
          <w:bCs/>
          <w:color w:val="000000"/>
          <w:lang w:val="el-GR"/>
        </w:rPr>
      </w:pPr>
      <w:r w:rsidRPr="003012B8">
        <w:rPr>
          <w:rFonts w:cstheme="minorHAnsi"/>
          <w:color w:val="000000"/>
          <w:lang w:val="el-GR"/>
        </w:rPr>
        <w:t xml:space="preserve">Σταθερή μείωση του κινδύνου εξέλιξης της </w:t>
      </w:r>
      <w:r w:rsidR="004F3E43">
        <w:rPr>
          <w:rFonts w:cstheme="minorHAnsi"/>
          <w:color w:val="000000"/>
          <w:lang w:val="el-GR"/>
        </w:rPr>
        <w:t xml:space="preserve">επιβεβαιωμένης </w:t>
      </w:r>
      <w:r w:rsidRPr="003012B8">
        <w:rPr>
          <w:rFonts w:cstheme="minorHAnsi"/>
          <w:color w:val="000000"/>
          <w:lang w:val="el-GR"/>
        </w:rPr>
        <w:t xml:space="preserve">αναπηρίας </w:t>
      </w:r>
      <w:r w:rsidR="004F3E43">
        <w:rPr>
          <w:rFonts w:cstheme="minorHAnsi"/>
          <w:color w:val="000000"/>
          <w:lang w:val="el-GR"/>
        </w:rPr>
        <w:t xml:space="preserve">στις </w:t>
      </w:r>
      <w:r w:rsidRPr="003012B8">
        <w:rPr>
          <w:rFonts w:cstheme="minorHAnsi"/>
          <w:color w:val="000000"/>
          <w:lang w:val="el-GR"/>
        </w:rPr>
        <w:t>προκαθορισμένες υποομάδες</w:t>
      </w:r>
      <w:r w:rsidR="004F3E43">
        <w:rPr>
          <w:rFonts w:cstheme="minorHAnsi"/>
          <w:color w:val="000000"/>
          <w:lang w:val="el-GR"/>
        </w:rPr>
        <w:t xml:space="preserve"> ασθενών</w:t>
      </w:r>
      <w:r w:rsidRPr="003012B8">
        <w:rPr>
          <w:rFonts w:cstheme="minorHAnsi"/>
          <w:color w:val="000000"/>
          <w:lang w:val="el-GR"/>
        </w:rPr>
        <w:t xml:space="preserve">, συμπεριλαμβανομένων </w:t>
      </w:r>
      <w:r w:rsidR="004F3E43">
        <w:rPr>
          <w:rFonts w:cstheme="minorHAnsi"/>
          <w:color w:val="000000"/>
          <w:lang w:val="el-GR"/>
        </w:rPr>
        <w:t xml:space="preserve">και αυτών που είχαν </w:t>
      </w:r>
      <w:r w:rsidRPr="003012B8">
        <w:rPr>
          <w:rFonts w:cstheme="minorHAnsi"/>
          <w:color w:val="000000"/>
          <w:lang w:val="el-GR"/>
        </w:rPr>
        <w:t>υποτροπές.</w:t>
      </w:r>
      <w:r w:rsidRPr="003012B8">
        <w:rPr>
          <w:rFonts w:cstheme="minorHAnsi"/>
          <w:color w:val="000000"/>
          <w:vertAlign w:val="superscript"/>
          <w:lang w:val="el-GR"/>
        </w:rPr>
        <w:t>1</w:t>
      </w:r>
      <w:r w:rsidRPr="003012B8">
        <w:rPr>
          <w:rFonts w:cstheme="minorHAnsi"/>
          <w:color w:val="000000"/>
          <w:lang w:val="el-GR"/>
        </w:rPr>
        <w:t xml:space="preserve"> </w:t>
      </w:r>
    </w:p>
    <w:p w:rsidR="0042720E" w:rsidRPr="003012B8" w:rsidRDefault="0042720E" w:rsidP="00FC3BF8">
      <w:pPr>
        <w:pStyle w:val="ListParagraph"/>
        <w:numPr>
          <w:ilvl w:val="0"/>
          <w:numId w:val="10"/>
        </w:numPr>
        <w:autoSpaceDE w:val="0"/>
        <w:autoSpaceDN w:val="0"/>
        <w:adjustRightInd w:val="0"/>
        <w:jc w:val="both"/>
        <w:rPr>
          <w:lang w:val="el-GR"/>
        </w:rPr>
      </w:pPr>
      <w:r w:rsidRPr="003012B8">
        <w:rPr>
          <w:lang w:val="el-GR"/>
        </w:rPr>
        <w:t xml:space="preserve">Σημαντική διαφορά υπέρ του </w:t>
      </w:r>
      <w:r>
        <w:t>BAF</w:t>
      </w:r>
      <w:r w:rsidRPr="003012B8">
        <w:rPr>
          <w:lang w:val="el-GR"/>
        </w:rPr>
        <w:t xml:space="preserve">312 σε σύγκριση με το εικονικό φάρμακο στο </w:t>
      </w:r>
      <w:proofErr w:type="spellStart"/>
      <w:r w:rsidRPr="003012B8">
        <w:rPr>
          <w:lang w:val="el-GR"/>
        </w:rPr>
        <w:t>ετησιοποιημένο</w:t>
      </w:r>
      <w:proofErr w:type="spellEnd"/>
      <w:r w:rsidRPr="003012B8">
        <w:rPr>
          <w:lang w:val="el-GR"/>
        </w:rPr>
        <w:t xml:space="preserve"> ποσοστό υποτροπών, την ποσοστιαία μεταβολή του όγκου του εγκεφάλου και τη μεταβολή από την αρχική τιμή του όγκου </w:t>
      </w:r>
      <w:r w:rsidR="005A6E6A" w:rsidRPr="003012B8">
        <w:rPr>
          <w:lang w:val="el-GR"/>
        </w:rPr>
        <w:t>των</w:t>
      </w:r>
      <w:r>
        <w:t>T</w:t>
      </w:r>
      <w:r w:rsidRPr="003012B8">
        <w:rPr>
          <w:lang w:val="el-GR"/>
        </w:rPr>
        <w:t xml:space="preserve">2 </w:t>
      </w:r>
      <w:r w:rsidR="005A6E6A" w:rsidRPr="003012B8">
        <w:rPr>
          <w:lang w:val="el-GR"/>
        </w:rPr>
        <w:t>βλαβών</w:t>
      </w:r>
      <w:r w:rsidR="004F3E43">
        <w:rPr>
          <w:lang w:val="el-GR"/>
        </w:rPr>
        <w:t xml:space="preserve"> </w:t>
      </w:r>
      <w:r w:rsidRPr="003012B8">
        <w:rPr>
          <w:lang w:val="el-GR"/>
        </w:rPr>
        <w:t xml:space="preserve">(εγκεφαλικές </w:t>
      </w:r>
      <w:r w:rsidR="005A6E6A" w:rsidRPr="003012B8">
        <w:rPr>
          <w:lang w:val="el-GR"/>
        </w:rPr>
        <w:t>βλάβες</w:t>
      </w:r>
      <w:r w:rsidRPr="003012B8">
        <w:rPr>
          <w:lang w:val="el-GR"/>
        </w:rPr>
        <w:t xml:space="preserve"> που προσδιορίζονται από σάρωση απεικόνισης μαγνητικού συντονισμού στην ακολουθία </w:t>
      </w:r>
      <w:r>
        <w:t>T</w:t>
      </w:r>
      <w:r w:rsidRPr="003012B8">
        <w:rPr>
          <w:lang w:val="el-GR"/>
        </w:rPr>
        <w:t>2). Η διαφορά της μεταβολής από την αρχική τιμή στη χρονομετρημένη δοκιμασία βάδισης απόστασης 25 ποδιών (</w:t>
      </w:r>
      <w:r>
        <w:t>T</w:t>
      </w:r>
      <w:r w:rsidRPr="003012B8">
        <w:rPr>
          <w:lang w:val="el-GR"/>
        </w:rPr>
        <w:t>25</w:t>
      </w:r>
      <w:r>
        <w:t>FW</w:t>
      </w:r>
      <w:r w:rsidRPr="003012B8">
        <w:rPr>
          <w:lang w:val="el-GR"/>
        </w:rPr>
        <w:t>) δεν ήταν σημαντική.</w:t>
      </w:r>
      <w:r w:rsidRPr="003012B8">
        <w:rPr>
          <w:rFonts w:cstheme="minorHAnsi"/>
          <w:color w:val="000000"/>
          <w:vertAlign w:val="superscript"/>
          <w:lang w:val="el-GR"/>
        </w:rPr>
        <w:t>1</w:t>
      </w:r>
    </w:p>
    <w:p w:rsidR="00552CD6" w:rsidRPr="003012B8" w:rsidRDefault="00552CD6" w:rsidP="00FC3BF8">
      <w:pPr>
        <w:pStyle w:val="ListParagraph"/>
        <w:numPr>
          <w:ilvl w:val="0"/>
          <w:numId w:val="10"/>
        </w:numPr>
        <w:autoSpaceDE w:val="0"/>
        <w:autoSpaceDN w:val="0"/>
        <w:adjustRightInd w:val="0"/>
        <w:jc w:val="both"/>
        <w:rPr>
          <w:rFonts w:cstheme="minorHAnsi"/>
          <w:bCs/>
          <w:color w:val="000000"/>
          <w:lang w:val="el-GR"/>
        </w:rPr>
      </w:pPr>
      <w:r w:rsidRPr="003012B8">
        <w:rPr>
          <w:rFonts w:cstheme="minorHAnsi"/>
          <w:color w:val="000000"/>
          <w:lang w:val="el-GR"/>
        </w:rPr>
        <w:t xml:space="preserve">Το </w:t>
      </w:r>
      <w:r>
        <w:rPr>
          <w:rFonts w:cstheme="minorHAnsi"/>
          <w:color w:val="000000"/>
        </w:rPr>
        <w:t>BAF</w:t>
      </w:r>
      <w:r w:rsidRPr="003012B8">
        <w:rPr>
          <w:rFonts w:cstheme="minorHAnsi"/>
          <w:color w:val="000000"/>
          <w:lang w:val="el-GR"/>
        </w:rPr>
        <w:t>312 ήταν γενικά ασφαλές και καλά ανεκτό, με προφίλ συγκρίσιμο με τα υπόλοιπα φάρμακα στην ίδια κατηγορία.</w:t>
      </w:r>
      <w:r w:rsidRPr="003012B8">
        <w:rPr>
          <w:rFonts w:cstheme="minorHAnsi"/>
          <w:color w:val="000000"/>
          <w:vertAlign w:val="superscript"/>
          <w:lang w:val="el-GR"/>
        </w:rPr>
        <w:t>1</w:t>
      </w:r>
    </w:p>
    <w:p w:rsidR="00E44CEB" w:rsidRPr="003012B8" w:rsidRDefault="00E44CEB" w:rsidP="00FC3BF8">
      <w:pPr>
        <w:autoSpaceDE w:val="0"/>
        <w:autoSpaceDN w:val="0"/>
        <w:adjustRightInd w:val="0"/>
        <w:jc w:val="both"/>
        <w:rPr>
          <w:lang w:val="el-GR"/>
        </w:rPr>
      </w:pPr>
    </w:p>
    <w:p w:rsidR="002C6D75" w:rsidRPr="003012B8" w:rsidRDefault="00A04CCE" w:rsidP="00FC3BF8">
      <w:pPr>
        <w:autoSpaceDE w:val="0"/>
        <w:autoSpaceDN w:val="0"/>
        <w:adjustRightInd w:val="0"/>
        <w:jc w:val="both"/>
        <w:rPr>
          <w:rFonts w:cstheme="minorHAnsi"/>
          <w:bCs/>
          <w:color w:val="000000"/>
          <w:lang w:val="el-GR"/>
        </w:rPr>
      </w:pPr>
      <w:r w:rsidRPr="00FC3BF8">
        <w:rPr>
          <w:rFonts w:cstheme="minorHAnsi"/>
          <w:i/>
          <w:color w:val="000000"/>
          <w:lang w:val="el-GR"/>
        </w:rPr>
        <w:t xml:space="preserve">«Υπάρχουν πολύ λίγες διαθέσιμες θεραπευτικές επιλογές για την καθυστέρηση της εξέλιξης της νόσου στην </w:t>
      </w:r>
      <w:r w:rsidRPr="00FC3BF8">
        <w:rPr>
          <w:rFonts w:cstheme="minorHAnsi"/>
          <w:i/>
          <w:color w:val="000000"/>
        </w:rPr>
        <w:t>SPMS</w:t>
      </w:r>
      <w:r w:rsidRPr="00FC3BF8">
        <w:rPr>
          <w:rFonts w:cstheme="minorHAnsi"/>
          <w:i/>
          <w:color w:val="000000"/>
          <w:lang w:val="el-GR"/>
        </w:rPr>
        <w:t xml:space="preserve">, ενώ είναι υψηλή η ανεκπλήρωτη ανάγκη για αποτελεσματικές </w:t>
      </w:r>
      <w:r w:rsidRPr="00FC3BF8">
        <w:rPr>
          <w:rFonts w:cstheme="minorHAnsi"/>
          <w:i/>
          <w:color w:val="000000"/>
          <w:lang w:val="el-GR"/>
        </w:rPr>
        <w:lastRenderedPageBreak/>
        <w:t>θεραπείες με αποδεκτό προφίλ ασφάλειας για τους ανθρώπους που πάσχουν από την πάθηση»,</w:t>
      </w:r>
      <w:r w:rsidRPr="003012B8">
        <w:rPr>
          <w:rFonts w:cstheme="minorHAnsi"/>
          <w:color w:val="000000"/>
          <w:lang w:val="el-GR"/>
        </w:rPr>
        <w:t xml:space="preserve"> δήλωσε ο </w:t>
      </w:r>
      <w:r>
        <w:rPr>
          <w:rFonts w:cstheme="minorHAnsi"/>
          <w:color w:val="000000"/>
        </w:rPr>
        <w:t>Vasant</w:t>
      </w:r>
      <w:r w:rsidRPr="003012B8">
        <w:rPr>
          <w:rFonts w:cstheme="minorHAnsi"/>
          <w:color w:val="000000"/>
          <w:lang w:val="el-GR"/>
        </w:rPr>
        <w:t xml:space="preserve"> </w:t>
      </w:r>
      <w:proofErr w:type="spellStart"/>
      <w:r>
        <w:rPr>
          <w:rFonts w:cstheme="minorHAnsi"/>
          <w:color w:val="000000"/>
        </w:rPr>
        <w:t>Narasimhan</w:t>
      </w:r>
      <w:proofErr w:type="spellEnd"/>
      <w:r w:rsidRPr="003012B8">
        <w:rPr>
          <w:rFonts w:cstheme="minorHAnsi"/>
          <w:color w:val="000000"/>
          <w:lang w:val="el-GR"/>
        </w:rPr>
        <w:t xml:space="preserve">, </w:t>
      </w:r>
      <w:r>
        <w:rPr>
          <w:rFonts w:cstheme="minorHAnsi"/>
          <w:color w:val="000000"/>
        </w:rPr>
        <w:t>Global</w:t>
      </w:r>
      <w:r w:rsidRPr="003012B8">
        <w:rPr>
          <w:rFonts w:cstheme="minorHAnsi"/>
          <w:color w:val="000000"/>
          <w:lang w:val="el-GR"/>
        </w:rPr>
        <w:t xml:space="preserve"> </w:t>
      </w:r>
      <w:r>
        <w:rPr>
          <w:rFonts w:cstheme="minorHAnsi"/>
          <w:color w:val="000000"/>
        </w:rPr>
        <w:t>Head</w:t>
      </w:r>
      <w:r w:rsidRPr="003012B8">
        <w:rPr>
          <w:rFonts w:cstheme="minorHAnsi"/>
          <w:color w:val="000000"/>
          <w:lang w:val="el-GR"/>
        </w:rPr>
        <w:t xml:space="preserve"> </w:t>
      </w:r>
      <w:r>
        <w:rPr>
          <w:rFonts w:cstheme="minorHAnsi"/>
          <w:color w:val="000000"/>
        </w:rPr>
        <w:t>Drug</w:t>
      </w:r>
      <w:r w:rsidRPr="003012B8">
        <w:rPr>
          <w:rFonts w:cstheme="minorHAnsi"/>
          <w:color w:val="000000"/>
          <w:lang w:val="el-GR"/>
        </w:rPr>
        <w:t xml:space="preserve"> </w:t>
      </w:r>
      <w:r>
        <w:rPr>
          <w:rFonts w:cstheme="minorHAnsi"/>
          <w:color w:val="000000"/>
        </w:rPr>
        <w:t>Development</w:t>
      </w:r>
      <w:r w:rsidRPr="003012B8">
        <w:rPr>
          <w:rFonts w:cstheme="minorHAnsi"/>
          <w:color w:val="000000"/>
          <w:lang w:val="el-GR"/>
        </w:rPr>
        <w:t xml:space="preserve"> και </w:t>
      </w:r>
      <w:r>
        <w:rPr>
          <w:rFonts w:cstheme="minorHAnsi"/>
          <w:color w:val="000000"/>
        </w:rPr>
        <w:t>Chief</w:t>
      </w:r>
      <w:r w:rsidRPr="003012B8">
        <w:rPr>
          <w:rFonts w:cstheme="minorHAnsi"/>
          <w:color w:val="000000"/>
          <w:lang w:val="el-GR"/>
        </w:rPr>
        <w:t xml:space="preserve"> </w:t>
      </w:r>
      <w:r>
        <w:rPr>
          <w:rFonts w:cstheme="minorHAnsi"/>
          <w:color w:val="000000"/>
        </w:rPr>
        <w:t>Medical</w:t>
      </w:r>
      <w:r w:rsidRPr="003012B8">
        <w:rPr>
          <w:rFonts w:cstheme="minorHAnsi"/>
          <w:color w:val="000000"/>
          <w:lang w:val="el-GR"/>
        </w:rPr>
        <w:t xml:space="preserve"> </w:t>
      </w:r>
      <w:r>
        <w:rPr>
          <w:rFonts w:cstheme="minorHAnsi"/>
          <w:color w:val="000000"/>
        </w:rPr>
        <w:t>Officer</w:t>
      </w:r>
      <w:r w:rsidRPr="003012B8">
        <w:rPr>
          <w:rFonts w:cstheme="minorHAnsi"/>
          <w:color w:val="000000"/>
          <w:lang w:val="el-GR"/>
        </w:rPr>
        <w:t xml:space="preserve"> της </w:t>
      </w:r>
      <w:r>
        <w:rPr>
          <w:rFonts w:cstheme="minorHAnsi"/>
          <w:color w:val="000000"/>
        </w:rPr>
        <w:t>Novartis</w:t>
      </w:r>
      <w:r w:rsidRPr="003012B8">
        <w:rPr>
          <w:rFonts w:cstheme="minorHAnsi"/>
          <w:color w:val="000000"/>
          <w:lang w:val="el-GR"/>
        </w:rPr>
        <w:t xml:space="preserve">. </w:t>
      </w:r>
      <w:r w:rsidRPr="00FC3BF8">
        <w:rPr>
          <w:rFonts w:cstheme="minorHAnsi"/>
          <w:i/>
          <w:color w:val="000000"/>
          <w:lang w:val="el-GR"/>
        </w:rPr>
        <w:t xml:space="preserve">«Η </w:t>
      </w:r>
      <w:r w:rsidRPr="00FC3BF8">
        <w:rPr>
          <w:rFonts w:cstheme="minorHAnsi"/>
          <w:i/>
          <w:color w:val="000000"/>
        </w:rPr>
        <w:t>Novartis</w:t>
      </w:r>
      <w:r w:rsidRPr="00FC3BF8">
        <w:rPr>
          <w:rFonts w:cstheme="minorHAnsi"/>
          <w:i/>
          <w:color w:val="000000"/>
          <w:lang w:val="el-GR"/>
        </w:rPr>
        <w:t xml:space="preserve"> είναι ο παγκόσμιος ηγέτης στην κατανόηση του ρόλου της τροποποίησης του υποδοχέα της </w:t>
      </w:r>
      <w:r w:rsidRPr="00FC3BF8">
        <w:rPr>
          <w:rFonts w:cstheme="minorHAnsi"/>
          <w:i/>
          <w:color w:val="000000"/>
        </w:rPr>
        <w:t>S</w:t>
      </w:r>
      <w:r w:rsidRPr="00FC3BF8">
        <w:rPr>
          <w:rFonts w:cstheme="minorHAnsi"/>
          <w:i/>
          <w:color w:val="000000"/>
          <w:lang w:val="el-GR"/>
        </w:rPr>
        <w:t>1</w:t>
      </w:r>
      <w:r w:rsidRPr="00FC3BF8">
        <w:rPr>
          <w:rFonts w:cstheme="minorHAnsi"/>
          <w:i/>
          <w:color w:val="000000"/>
        </w:rPr>
        <w:t>P</w:t>
      </w:r>
      <w:r w:rsidRPr="00FC3BF8">
        <w:rPr>
          <w:rFonts w:cstheme="minorHAnsi"/>
          <w:i/>
          <w:color w:val="000000"/>
          <w:lang w:val="el-GR"/>
        </w:rPr>
        <w:t xml:space="preserve"> στη θεραπευτική αντιμετώπιση της ΠΣ, και τα θετικά αποτελέσματα της μελέτης </w:t>
      </w:r>
      <w:r w:rsidRPr="00FC3BF8">
        <w:rPr>
          <w:rFonts w:cstheme="minorHAnsi"/>
          <w:i/>
          <w:color w:val="000000"/>
        </w:rPr>
        <w:t>EXPAND</w:t>
      </w:r>
      <w:r w:rsidRPr="00FC3BF8">
        <w:rPr>
          <w:rFonts w:cstheme="minorHAnsi"/>
          <w:i/>
          <w:color w:val="000000"/>
          <w:lang w:val="el-GR"/>
        </w:rPr>
        <w:t xml:space="preserve"> αποτελούν συνέχεια των καταβαλλόμενων προσπαθειών μας για καινοτομία και κάλυψη των αναγκών των ασθενών. Τα στοιχεία αυτά είναι ένα θετικό βήμα προόδου σε ένα</w:t>
      </w:r>
      <w:r w:rsidR="00041F8B" w:rsidRPr="00FC3BF8">
        <w:rPr>
          <w:rFonts w:cstheme="minorHAnsi"/>
          <w:i/>
          <w:color w:val="000000"/>
          <w:lang w:val="el-GR"/>
        </w:rPr>
        <w:t xml:space="preserve"> </w:t>
      </w:r>
      <w:r w:rsidRPr="00FC3BF8">
        <w:rPr>
          <w:rFonts w:cstheme="minorHAnsi"/>
          <w:i/>
          <w:color w:val="000000"/>
          <w:lang w:val="el-GR"/>
        </w:rPr>
        <w:t xml:space="preserve">τομέα της νόσου </w:t>
      </w:r>
      <w:r w:rsidR="00B87FA1" w:rsidRPr="00FC3BF8">
        <w:rPr>
          <w:rFonts w:cstheme="minorHAnsi"/>
          <w:i/>
          <w:color w:val="000000"/>
          <w:lang w:val="el-GR"/>
        </w:rPr>
        <w:t>που δ</w:t>
      </w:r>
      <w:r w:rsidR="00041F8B" w:rsidRPr="00FC3BF8">
        <w:rPr>
          <w:rFonts w:cstheme="minorHAnsi"/>
          <w:i/>
          <w:color w:val="000000"/>
          <w:lang w:val="el-GR"/>
        </w:rPr>
        <w:t xml:space="preserve">ύσκολα αντιμετωπίζεται </w:t>
      </w:r>
      <w:r w:rsidRPr="00FC3BF8">
        <w:rPr>
          <w:rFonts w:cstheme="minorHAnsi"/>
          <w:i/>
          <w:color w:val="000000"/>
          <w:lang w:val="el-GR"/>
        </w:rPr>
        <w:t>και αναμένουμε την αξιολόγηση των επόμενων βημάτων με τις υγειονομικές αρχές.»</w:t>
      </w:r>
    </w:p>
    <w:p w:rsidR="00A04CCE" w:rsidRPr="003012B8" w:rsidRDefault="00A04CCE" w:rsidP="00FC3BF8">
      <w:pPr>
        <w:jc w:val="both"/>
        <w:rPr>
          <w:lang w:val="el-GR"/>
        </w:rPr>
      </w:pPr>
    </w:p>
    <w:p w:rsidR="00427211" w:rsidRPr="003012B8" w:rsidRDefault="00427211" w:rsidP="00FC3BF8">
      <w:pPr>
        <w:jc w:val="both"/>
        <w:rPr>
          <w:lang w:val="el-GR"/>
        </w:rPr>
      </w:pPr>
      <w:r w:rsidRPr="003012B8">
        <w:rPr>
          <w:lang w:val="el-GR"/>
        </w:rPr>
        <w:t xml:space="preserve">Η </w:t>
      </w:r>
      <w:r>
        <w:t>EXPAND</w:t>
      </w:r>
      <w:r w:rsidRPr="003012B8">
        <w:rPr>
          <w:lang w:val="el-GR"/>
        </w:rPr>
        <w:t xml:space="preserve"> είναι η μεγαλύτερη τυχαιοποιημένη, ελεγχόμενη μελέτη για τη </w:t>
      </w:r>
      <w:proofErr w:type="spellStart"/>
      <w:r w:rsidR="00B87FA1">
        <w:rPr>
          <w:lang w:val="el-GR"/>
        </w:rPr>
        <w:t>Δ</w:t>
      </w:r>
      <w:r w:rsidRPr="003012B8">
        <w:rPr>
          <w:lang w:val="el-GR"/>
        </w:rPr>
        <w:t>ευτεροπαθώς</w:t>
      </w:r>
      <w:proofErr w:type="spellEnd"/>
      <w:r w:rsidRPr="003012B8">
        <w:rPr>
          <w:lang w:val="el-GR"/>
        </w:rPr>
        <w:t xml:space="preserve"> </w:t>
      </w:r>
      <w:r w:rsidR="00B87FA1">
        <w:rPr>
          <w:lang w:val="el-GR"/>
        </w:rPr>
        <w:t>Π</w:t>
      </w:r>
      <w:r w:rsidRPr="003012B8">
        <w:rPr>
          <w:lang w:val="el-GR"/>
        </w:rPr>
        <w:t xml:space="preserve">ροϊούσα </w:t>
      </w:r>
      <w:r w:rsidR="00B87FA1">
        <w:rPr>
          <w:lang w:val="el-GR"/>
        </w:rPr>
        <w:t>Π</w:t>
      </w:r>
      <w:r w:rsidRPr="003012B8">
        <w:rPr>
          <w:lang w:val="el-GR"/>
        </w:rPr>
        <w:t xml:space="preserve">ολλαπλή </w:t>
      </w:r>
      <w:r w:rsidR="00B87FA1">
        <w:rPr>
          <w:lang w:val="el-GR"/>
        </w:rPr>
        <w:t>Σ</w:t>
      </w:r>
      <w:r w:rsidRPr="003012B8">
        <w:rPr>
          <w:lang w:val="el-GR"/>
        </w:rPr>
        <w:t>κλήρυνση έως σήμερα.</w:t>
      </w:r>
      <w:r w:rsidRPr="003012B8">
        <w:rPr>
          <w:vertAlign w:val="superscript"/>
          <w:lang w:val="el-GR"/>
        </w:rPr>
        <w:t>4</w:t>
      </w:r>
      <w:r>
        <w:rPr>
          <w:vertAlign w:val="superscript"/>
        </w:rPr>
        <w:t> </w:t>
      </w:r>
      <w:r w:rsidRPr="003012B8">
        <w:rPr>
          <w:lang w:val="el-GR"/>
        </w:rPr>
        <w:t xml:space="preserve">Οι ασθενείς που </w:t>
      </w:r>
      <w:r w:rsidR="00B87FA1">
        <w:rPr>
          <w:lang w:val="el-GR"/>
        </w:rPr>
        <w:t>συμμετείχαν</w:t>
      </w:r>
      <w:r w:rsidR="00041F8B">
        <w:rPr>
          <w:lang w:val="el-GR"/>
        </w:rPr>
        <w:t xml:space="preserve"> </w:t>
      </w:r>
      <w:r w:rsidRPr="003012B8">
        <w:rPr>
          <w:lang w:val="el-GR"/>
        </w:rPr>
        <w:t xml:space="preserve">στην </w:t>
      </w:r>
      <w:r>
        <w:t>EXPAND</w:t>
      </w:r>
      <w:r w:rsidRPr="003012B8">
        <w:rPr>
          <w:lang w:val="el-GR"/>
        </w:rPr>
        <w:t xml:space="preserve"> ήταν αντιπροσωπευτικοί </w:t>
      </w:r>
      <w:r w:rsidR="00B87FA1">
        <w:rPr>
          <w:lang w:val="el-GR"/>
        </w:rPr>
        <w:t>του</w:t>
      </w:r>
      <w:r w:rsidRPr="003012B8">
        <w:rPr>
          <w:lang w:val="el-GR"/>
        </w:rPr>
        <w:t xml:space="preserve"> γενικού πληθυσμού με </w:t>
      </w:r>
      <w:r>
        <w:t>SPMS</w:t>
      </w:r>
      <w:r w:rsidRPr="003012B8">
        <w:rPr>
          <w:lang w:val="el-GR"/>
        </w:rPr>
        <w:t>.</w:t>
      </w:r>
      <w:r w:rsidRPr="003012B8">
        <w:rPr>
          <w:vertAlign w:val="superscript"/>
          <w:lang w:val="el-GR"/>
        </w:rPr>
        <w:t>1</w:t>
      </w:r>
      <w:r w:rsidRPr="003012B8">
        <w:rPr>
          <w:lang w:val="el-GR"/>
        </w:rPr>
        <w:t xml:space="preserve"> </w:t>
      </w:r>
      <w:r w:rsidR="00B87FA1">
        <w:rPr>
          <w:lang w:val="el-GR"/>
        </w:rPr>
        <w:t>Έπρεπε</w:t>
      </w:r>
      <w:r w:rsidR="00041F8B">
        <w:rPr>
          <w:lang w:val="el-GR"/>
        </w:rPr>
        <w:t xml:space="preserve"> </w:t>
      </w:r>
      <w:r w:rsidRPr="003012B8">
        <w:rPr>
          <w:lang w:val="el-GR"/>
        </w:rPr>
        <w:t xml:space="preserve">να έχουν διαγνωστεί με </w:t>
      </w:r>
      <w:r>
        <w:t>SPMS</w:t>
      </w:r>
      <w:r w:rsidRPr="003012B8">
        <w:rPr>
          <w:lang w:val="el-GR"/>
        </w:rPr>
        <w:t xml:space="preserve"> και να έχουν επίσης παρουσιάσει εξέλιξη της αναπηρίας σε διάστημα δύο ετών πριν τη μελέτη.</w:t>
      </w:r>
      <w:r w:rsidRPr="003012B8">
        <w:rPr>
          <w:vertAlign w:val="superscript"/>
          <w:lang w:val="el-GR"/>
        </w:rPr>
        <w:t>1</w:t>
      </w:r>
      <w:r w:rsidRPr="003012B8">
        <w:rPr>
          <w:lang w:val="el-GR"/>
        </w:rPr>
        <w:t xml:space="preserve"> Στην πλειονότητά τους, οι ασθενείς είχαν μη υποτροπιάζουσα </w:t>
      </w:r>
      <w:r>
        <w:t>SPMS</w:t>
      </w:r>
      <w:r w:rsidRPr="003012B8">
        <w:rPr>
          <w:lang w:val="el-GR"/>
        </w:rPr>
        <w:t>. Η μέση ηλικία κατά την εισαγωγή στη μελέτη ήταν τα 48 έτη και οι ασθενείς είχαν διάμεση βαθμολογία στη Διευρυμένη Κλίμακα Κατάστασης Αναπηρίας (</w:t>
      </w:r>
      <w:r>
        <w:t>EDSS</w:t>
      </w:r>
      <w:r w:rsidRPr="003012B8">
        <w:rPr>
          <w:lang w:val="el-GR"/>
        </w:rPr>
        <w:t>) 6,0, κάτι που αντιστοιχεί στη χρήση βοηθήματος βάδισης.</w:t>
      </w:r>
      <w:r w:rsidRPr="003012B8">
        <w:rPr>
          <w:vertAlign w:val="superscript"/>
          <w:lang w:val="el-GR"/>
        </w:rPr>
        <w:t>1,5,6</w:t>
      </w:r>
    </w:p>
    <w:p w:rsidR="00602A07" w:rsidRPr="003012B8" w:rsidRDefault="00602A07" w:rsidP="00FC3BF8">
      <w:pPr>
        <w:autoSpaceDE w:val="0"/>
        <w:autoSpaceDN w:val="0"/>
        <w:adjustRightInd w:val="0"/>
        <w:jc w:val="both"/>
        <w:rPr>
          <w:rFonts w:cstheme="minorHAnsi"/>
          <w:bCs/>
          <w:color w:val="000000"/>
          <w:lang w:val="el-GR"/>
        </w:rPr>
      </w:pPr>
    </w:p>
    <w:p w:rsidR="00A17BF6" w:rsidRPr="003012B8" w:rsidRDefault="00C95196" w:rsidP="00FC3BF8">
      <w:pPr>
        <w:autoSpaceDE w:val="0"/>
        <w:autoSpaceDN w:val="0"/>
        <w:adjustRightInd w:val="0"/>
        <w:jc w:val="both"/>
        <w:rPr>
          <w:rFonts w:ascii="Arial" w:hAnsi="Arial" w:cs="Arial"/>
          <w:color w:val="000000"/>
          <w:lang w:val="el-GR"/>
        </w:rPr>
      </w:pPr>
      <w:r w:rsidRPr="003012B8">
        <w:rPr>
          <w:lang w:val="el-GR"/>
        </w:rPr>
        <w:t xml:space="preserve">Η </w:t>
      </w:r>
      <w:r>
        <w:rPr>
          <w:rFonts w:ascii="Arial" w:hAnsi="Arial"/>
          <w:color w:val="000000"/>
        </w:rPr>
        <w:t>Novartis</w:t>
      </w:r>
      <w:r w:rsidRPr="003012B8">
        <w:rPr>
          <w:rFonts w:cstheme="minorHAnsi"/>
          <w:color w:val="000000"/>
          <w:lang w:val="el-GR"/>
        </w:rPr>
        <w:t xml:space="preserve"> θα διενεργήσει πλήρεις αναλύσεις των στοιχείων από την </w:t>
      </w:r>
      <w:r>
        <w:rPr>
          <w:rFonts w:cstheme="minorHAnsi"/>
          <w:color w:val="000000"/>
        </w:rPr>
        <w:t>EXPAND</w:t>
      </w:r>
      <w:r w:rsidRPr="003012B8">
        <w:rPr>
          <w:rFonts w:cstheme="minorHAnsi"/>
          <w:color w:val="000000"/>
          <w:lang w:val="el-GR"/>
        </w:rPr>
        <w:t xml:space="preserve"> και θα αξιολογήσει τα επόμενα βήματα κατόπιν συνεννόησης με τις υγειονομικές αρχές. </w:t>
      </w:r>
      <w:r w:rsidRPr="003012B8">
        <w:rPr>
          <w:rFonts w:ascii="Arial" w:hAnsi="Arial"/>
          <w:color w:val="000000"/>
          <w:lang w:val="el-GR"/>
        </w:rPr>
        <w:t xml:space="preserve">Τα πλήρη αποτελέσματα της μελέτης, συμπεριλαμβανομένων των στοιχείων από τα πρωτεύοντα και τα δευτερεύοντα καταληκτικά σημεία, θα υποβληθούν προς έκδοση. </w:t>
      </w:r>
    </w:p>
    <w:p w:rsidR="002E64F9" w:rsidRPr="003012B8" w:rsidRDefault="002E64F9" w:rsidP="00FC3BF8">
      <w:pPr>
        <w:autoSpaceDE w:val="0"/>
        <w:autoSpaceDN w:val="0"/>
        <w:adjustRightInd w:val="0"/>
        <w:jc w:val="both"/>
        <w:rPr>
          <w:rFonts w:cstheme="minorHAnsi"/>
          <w:b/>
          <w:bCs/>
          <w:color w:val="000000"/>
          <w:lang w:val="el-GR"/>
        </w:rPr>
      </w:pPr>
    </w:p>
    <w:p w:rsidR="00500737" w:rsidRPr="003012B8" w:rsidRDefault="00500737" w:rsidP="00FC3BF8">
      <w:pPr>
        <w:autoSpaceDE w:val="0"/>
        <w:autoSpaceDN w:val="0"/>
        <w:adjustRightInd w:val="0"/>
        <w:jc w:val="both"/>
        <w:rPr>
          <w:rFonts w:cstheme="minorHAnsi"/>
          <w:b/>
          <w:bCs/>
          <w:color w:val="000000"/>
          <w:lang w:val="el-GR"/>
        </w:rPr>
      </w:pPr>
      <w:r w:rsidRPr="003012B8">
        <w:rPr>
          <w:rFonts w:cstheme="minorHAnsi"/>
          <w:b/>
          <w:color w:val="000000"/>
          <w:lang w:val="el-GR"/>
        </w:rPr>
        <w:t xml:space="preserve">Σχετικά με τη μελέτη </w:t>
      </w:r>
      <w:r>
        <w:rPr>
          <w:rFonts w:cstheme="minorHAnsi"/>
          <w:b/>
          <w:color w:val="000000"/>
        </w:rPr>
        <w:t>EXPAND</w:t>
      </w:r>
    </w:p>
    <w:p w:rsidR="00500737" w:rsidRPr="003012B8" w:rsidRDefault="00500737" w:rsidP="00FC3BF8">
      <w:pPr>
        <w:autoSpaceDE w:val="0"/>
        <w:autoSpaceDN w:val="0"/>
        <w:adjustRightInd w:val="0"/>
        <w:jc w:val="both"/>
        <w:rPr>
          <w:rFonts w:cstheme="minorHAnsi"/>
          <w:bCs/>
          <w:color w:val="000000"/>
          <w:lang w:val="el-GR"/>
        </w:rPr>
      </w:pPr>
      <w:r w:rsidRPr="003012B8">
        <w:rPr>
          <w:rFonts w:cstheme="minorHAnsi"/>
          <w:color w:val="000000"/>
          <w:lang w:val="el-GR"/>
        </w:rPr>
        <w:t xml:space="preserve">Η </w:t>
      </w:r>
      <w:r>
        <w:rPr>
          <w:rFonts w:cstheme="minorHAnsi"/>
          <w:color w:val="000000"/>
        </w:rPr>
        <w:t>EXPAND</w:t>
      </w:r>
      <w:r w:rsidRPr="003012B8">
        <w:rPr>
          <w:rFonts w:cstheme="minorHAnsi"/>
          <w:color w:val="000000"/>
          <w:lang w:val="el-GR"/>
        </w:rPr>
        <w:t xml:space="preserve"> είναι μια τυχαιοποιημένη, διπλά τυφλή, ελεγχόμενη με εικονικό φάρμακο μελέτη φάσης </w:t>
      </w:r>
      <w:r>
        <w:rPr>
          <w:rFonts w:cstheme="minorHAnsi"/>
          <w:color w:val="000000"/>
        </w:rPr>
        <w:t>III</w:t>
      </w:r>
      <w:r w:rsidRPr="003012B8">
        <w:rPr>
          <w:rFonts w:cstheme="minorHAnsi"/>
          <w:color w:val="000000"/>
          <w:lang w:val="el-GR"/>
        </w:rPr>
        <w:t xml:space="preserve">, η οποία συγκρίνει την αποτελεσματικότητα και την ασφάλεια του </w:t>
      </w:r>
      <w:r>
        <w:rPr>
          <w:rFonts w:cstheme="minorHAnsi"/>
          <w:color w:val="000000"/>
        </w:rPr>
        <w:t>BAF</w:t>
      </w:r>
      <w:r w:rsidRPr="003012B8">
        <w:rPr>
          <w:rFonts w:cstheme="minorHAnsi"/>
          <w:color w:val="000000"/>
          <w:lang w:val="el-GR"/>
        </w:rPr>
        <w:t xml:space="preserve">312 έναντι του εικονικού φαρμάκου σε ανθρώπους με </w:t>
      </w:r>
      <w:proofErr w:type="spellStart"/>
      <w:r w:rsidR="009C6F53">
        <w:rPr>
          <w:rFonts w:cstheme="minorHAnsi"/>
          <w:color w:val="000000"/>
          <w:lang w:val="el-GR"/>
        </w:rPr>
        <w:t>Δ</w:t>
      </w:r>
      <w:r w:rsidRPr="003012B8">
        <w:rPr>
          <w:rFonts w:cstheme="minorHAnsi"/>
          <w:color w:val="000000"/>
          <w:lang w:val="el-GR"/>
        </w:rPr>
        <w:t>ευτεροπαθώς</w:t>
      </w:r>
      <w:proofErr w:type="spellEnd"/>
      <w:r w:rsidRPr="003012B8">
        <w:rPr>
          <w:rFonts w:cstheme="minorHAnsi"/>
          <w:color w:val="000000"/>
          <w:lang w:val="el-GR"/>
        </w:rPr>
        <w:t xml:space="preserve"> </w:t>
      </w:r>
      <w:r w:rsidR="009C6F53">
        <w:rPr>
          <w:rFonts w:cstheme="minorHAnsi"/>
          <w:color w:val="000000"/>
          <w:lang w:val="el-GR"/>
        </w:rPr>
        <w:t>Π</w:t>
      </w:r>
      <w:r w:rsidRPr="003012B8">
        <w:rPr>
          <w:rFonts w:cstheme="minorHAnsi"/>
          <w:color w:val="000000"/>
          <w:lang w:val="el-GR"/>
        </w:rPr>
        <w:t xml:space="preserve">ροϊούσα </w:t>
      </w:r>
      <w:r w:rsidR="009C6F53">
        <w:rPr>
          <w:rFonts w:cstheme="minorHAnsi"/>
          <w:color w:val="000000"/>
          <w:lang w:val="el-GR"/>
        </w:rPr>
        <w:t>Π</w:t>
      </w:r>
      <w:r w:rsidRPr="003012B8">
        <w:rPr>
          <w:rFonts w:cstheme="minorHAnsi"/>
          <w:color w:val="000000"/>
          <w:lang w:val="el-GR"/>
        </w:rPr>
        <w:t xml:space="preserve">ολλαπλή </w:t>
      </w:r>
      <w:r w:rsidR="009C6F53">
        <w:rPr>
          <w:rFonts w:cstheme="minorHAnsi"/>
          <w:color w:val="000000"/>
          <w:lang w:val="el-GR"/>
        </w:rPr>
        <w:t>Σ</w:t>
      </w:r>
      <w:r w:rsidRPr="003012B8">
        <w:rPr>
          <w:rFonts w:cstheme="minorHAnsi"/>
          <w:color w:val="000000"/>
          <w:lang w:val="el-GR"/>
        </w:rPr>
        <w:t>κλήρυνση (</w:t>
      </w:r>
      <w:r>
        <w:rPr>
          <w:rFonts w:cstheme="minorHAnsi"/>
          <w:color w:val="000000"/>
        </w:rPr>
        <w:t>SPMS</w:t>
      </w:r>
      <w:r w:rsidRPr="003012B8">
        <w:rPr>
          <w:rFonts w:cstheme="minorHAnsi"/>
          <w:color w:val="000000"/>
          <w:lang w:val="el-GR"/>
        </w:rPr>
        <w:t>).</w:t>
      </w:r>
      <w:r w:rsidRPr="003012B8">
        <w:rPr>
          <w:rFonts w:cstheme="minorHAnsi"/>
          <w:color w:val="000000"/>
          <w:vertAlign w:val="superscript"/>
          <w:lang w:val="el-GR"/>
        </w:rPr>
        <w:t>1,5</w:t>
      </w:r>
      <w:r w:rsidRPr="003012B8">
        <w:rPr>
          <w:rFonts w:cstheme="minorHAnsi"/>
          <w:color w:val="000000"/>
          <w:lang w:val="el-GR"/>
        </w:rPr>
        <w:t xml:space="preserve"> Είναι η μεγαλύτερη τυχαιοποιημένη, ελεγχόμενη μελέτη για την </w:t>
      </w:r>
      <w:r>
        <w:rPr>
          <w:rFonts w:cstheme="minorHAnsi"/>
          <w:color w:val="000000"/>
        </w:rPr>
        <w:t>SPMS</w:t>
      </w:r>
      <w:r w:rsidRPr="003012B8">
        <w:rPr>
          <w:rFonts w:cstheme="minorHAnsi"/>
          <w:color w:val="000000"/>
          <w:lang w:val="el-GR"/>
        </w:rPr>
        <w:t xml:space="preserve"> έως τώρα και συμπεριέλαβε 1.651 ανθρώπους με </w:t>
      </w:r>
      <w:r>
        <w:rPr>
          <w:rFonts w:cstheme="minorHAnsi"/>
          <w:color w:val="000000"/>
        </w:rPr>
        <w:t>SPMS</w:t>
      </w:r>
      <w:r w:rsidRPr="003012B8">
        <w:rPr>
          <w:rFonts w:cstheme="minorHAnsi"/>
          <w:color w:val="000000"/>
          <w:lang w:val="el-GR"/>
        </w:rPr>
        <w:t xml:space="preserve"> από 31 χώρες.</w:t>
      </w:r>
      <w:r w:rsidRPr="003012B8">
        <w:rPr>
          <w:rFonts w:cstheme="minorHAnsi"/>
          <w:color w:val="000000"/>
          <w:vertAlign w:val="superscript"/>
          <w:lang w:val="el-GR"/>
        </w:rPr>
        <w:t xml:space="preserve">4  </w:t>
      </w:r>
      <w:r w:rsidRPr="003012B8">
        <w:rPr>
          <w:rFonts w:cstheme="minorHAnsi"/>
          <w:color w:val="000000"/>
          <w:lang w:val="el-GR"/>
        </w:rPr>
        <w:t xml:space="preserve">Κατά το χρονικό διάστημα της μελέτης, τα εγγεγραμμένα άτομα στην </w:t>
      </w:r>
      <w:r>
        <w:rPr>
          <w:rFonts w:cstheme="minorHAnsi"/>
          <w:color w:val="000000"/>
        </w:rPr>
        <w:t>EXPAND</w:t>
      </w:r>
      <w:r w:rsidRPr="003012B8">
        <w:rPr>
          <w:rFonts w:cstheme="minorHAnsi"/>
          <w:color w:val="000000"/>
          <w:lang w:val="el-GR"/>
        </w:rPr>
        <w:t xml:space="preserve"> ήταν ηλικίας 48 ετών κατά μέσο όρο και έπασχαν από ΠΣ για περίπου 17 έτη.</w:t>
      </w:r>
      <w:r w:rsidRPr="003012B8">
        <w:rPr>
          <w:rFonts w:cstheme="minorHAnsi"/>
          <w:color w:val="000000"/>
          <w:vertAlign w:val="superscript"/>
          <w:lang w:val="el-GR"/>
        </w:rPr>
        <w:t>1</w:t>
      </w:r>
      <w:r w:rsidRPr="003012B8">
        <w:rPr>
          <w:rFonts w:cstheme="minorHAnsi"/>
          <w:color w:val="000000"/>
          <w:lang w:val="el-GR"/>
        </w:rPr>
        <w:t xml:space="preserve"> Οι ασθενείς είχαν διαγνωστεί με </w:t>
      </w:r>
      <w:r>
        <w:rPr>
          <w:rFonts w:cstheme="minorHAnsi"/>
          <w:color w:val="000000"/>
        </w:rPr>
        <w:t>SPMS</w:t>
      </w:r>
      <w:r w:rsidRPr="003012B8">
        <w:rPr>
          <w:rFonts w:cstheme="minorHAnsi"/>
          <w:color w:val="000000"/>
          <w:lang w:val="el-GR"/>
        </w:rPr>
        <w:t xml:space="preserve"> και είχαν παρουσιάσει εξέλιξη της αναπηρίας σε διάστημα δύο ετών πριν τη μελέτη.</w:t>
      </w:r>
      <w:r w:rsidRPr="003012B8">
        <w:rPr>
          <w:rFonts w:cstheme="minorHAnsi"/>
          <w:color w:val="000000"/>
          <w:vertAlign w:val="superscript"/>
          <w:lang w:val="el-GR"/>
        </w:rPr>
        <w:t>1</w:t>
      </w:r>
      <w:r w:rsidRPr="003012B8">
        <w:rPr>
          <w:rFonts w:cstheme="minorHAnsi"/>
          <w:color w:val="000000"/>
          <w:lang w:val="el-GR"/>
        </w:rPr>
        <w:t xml:space="preserve"> Είχαν επίσης βαθμολογία στη Διευρυμένη Κλίμακα Κατάστασης Αναπηρίας (</w:t>
      </w:r>
      <w:r>
        <w:rPr>
          <w:rFonts w:cstheme="minorHAnsi"/>
          <w:color w:val="000000"/>
        </w:rPr>
        <w:t>EDSS</w:t>
      </w:r>
      <w:r w:rsidRPr="003012B8">
        <w:rPr>
          <w:rFonts w:cstheme="minorHAnsi"/>
          <w:color w:val="000000"/>
          <w:lang w:val="el-GR"/>
        </w:rPr>
        <w:t>) από 3,0 έως 6,5 με διάμεση τιμή 6,0, κάτι που αντιστοιχεί στη χρήση βοηθήματος βάδισης.</w:t>
      </w:r>
      <w:r w:rsidRPr="003012B8">
        <w:rPr>
          <w:rFonts w:cstheme="minorHAnsi"/>
          <w:color w:val="000000"/>
          <w:vertAlign w:val="superscript"/>
          <w:lang w:val="el-GR"/>
        </w:rPr>
        <w:t>1,5,6</w:t>
      </w:r>
      <w:r w:rsidRPr="003012B8">
        <w:rPr>
          <w:rFonts w:cstheme="minorHAnsi"/>
          <w:color w:val="000000"/>
          <w:lang w:val="el-GR"/>
        </w:rPr>
        <w:t xml:space="preserve"> Οι ασθενείς </w:t>
      </w:r>
      <w:proofErr w:type="spellStart"/>
      <w:r w:rsidRPr="003012B8">
        <w:rPr>
          <w:rFonts w:cstheme="minorHAnsi"/>
          <w:color w:val="000000"/>
          <w:lang w:val="el-GR"/>
        </w:rPr>
        <w:t>τυχαιοποιήθηκαν</w:t>
      </w:r>
      <w:proofErr w:type="spellEnd"/>
      <w:r w:rsidRPr="003012B8">
        <w:rPr>
          <w:rFonts w:cstheme="minorHAnsi"/>
          <w:color w:val="000000"/>
          <w:lang w:val="el-GR"/>
        </w:rPr>
        <w:t xml:space="preserve"> για να λάβουν είτε 2 </w:t>
      </w:r>
      <w:r>
        <w:rPr>
          <w:rFonts w:cstheme="minorHAnsi"/>
          <w:color w:val="000000"/>
        </w:rPr>
        <w:t>mg</w:t>
      </w:r>
      <w:r w:rsidRPr="003012B8">
        <w:rPr>
          <w:rFonts w:cstheme="minorHAnsi"/>
          <w:color w:val="000000"/>
          <w:lang w:val="el-GR"/>
        </w:rPr>
        <w:t xml:space="preserve"> </w:t>
      </w:r>
      <w:r>
        <w:rPr>
          <w:rFonts w:cstheme="minorHAnsi"/>
          <w:color w:val="000000"/>
        </w:rPr>
        <w:t>BAF</w:t>
      </w:r>
      <w:r w:rsidRPr="003012B8">
        <w:rPr>
          <w:rFonts w:cstheme="minorHAnsi"/>
          <w:color w:val="000000"/>
          <w:lang w:val="el-GR"/>
        </w:rPr>
        <w:t>312 είτε εικονικό φάρμακο σε αναλογία 2:1 αντίστοιχα.</w:t>
      </w:r>
      <w:r w:rsidRPr="003012B8">
        <w:rPr>
          <w:rFonts w:cstheme="minorHAnsi"/>
          <w:color w:val="000000"/>
          <w:vertAlign w:val="superscript"/>
          <w:lang w:val="el-GR"/>
        </w:rPr>
        <w:t>1,5</w:t>
      </w:r>
    </w:p>
    <w:p w:rsidR="003A1782" w:rsidRPr="003012B8" w:rsidRDefault="003A1782" w:rsidP="00FC3BF8">
      <w:pPr>
        <w:autoSpaceDE w:val="0"/>
        <w:autoSpaceDN w:val="0"/>
        <w:adjustRightInd w:val="0"/>
        <w:jc w:val="both"/>
        <w:rPr>
          <w:rFonts w:cstheme="minorHAnsi"/>
          <w:bCs/>
          <w:color w:val="000000"/>
          <w:lang w:val="el-GR"/>
        </w:rPr>
      </w:pPr>
    </w:p>
    <w:p w:rsidR="00500737" w:rsidRPr="003012B8" w:rsidRDefault="00500737" w:rsidP="00FC3BF8">
      <w:pPr>
        <w:autoSpaceDE w:val="0"/>
        <w:autoSpaceDN w:val="0"/>
        <w:adjustRightInd w:val="0"/>
        <w:jc w:val="both"/>
        <w:rPr>
          <w:rFonts w:cstheme="minorHAnsi"/>
          <w:bCs/>
          <w:color w:val="000000"/>
          <w:vertAlign w:val="superscript"/>
          <w:lang w:val="el-GR"/>
        </w:rPr>
      </w:pPr>
      <w:r w:rsidRPr="003012B8">
        <w:rPr>
          <w:rFonts w:cstheme="minorHAnsi"/>
          <w:color w:val="000000"/>
          <w:lang w:val="el-GR"/>
        </w:rPr>
        <w:t xml:space="preserve">Το πρωτεύον καταληκτικό σημείο της μελέτης ήταν ο χρόνος έως την εξέλιξη της αναπηρίας με τρίμηνη επιβεβαίωση, όπως μετρήθηκε από την </w:t>
      </w:r>
      <w:r>
        <w:rPr>
          <w:rFonts w:cstheme="minorHAnsi"/>
          <w:color w:val="000000"/>
        </w:rPr>
        <w:t>EDSS</w:t>
      </w:r>
      <w:r w:rsidRPr="003012B8">
        <w:rPr>
          <w:rFonts w:cstheme="minorHAnsi"/>
          <w:color w:val="000000"/>
          <w:lang w:val="el-GR"/>
        </w:rPr>
        <w:t>, έναντι του εικονικού φαρμάκου.</w:t>
      </w:r>
      <w:r w:rsidRPr="003012B8">
        <w:rPr>
          <w:rFonts w:cstheme="minorHAnsi"/>
          <w:color w:val="000000"/>
          <w:vertAlign w:val="superscript"/>
          <w:lang w:val="el-GR"/>
        </w:rPr>
        <w:t>1,5</w:t>
      </w:r>
      <w:r w:rsidRPr="003012B8">
        <w:rPr>
          <w:rFonts w:cstheme="minorHAnsi"/>
          <w:color w:val="000000"/>
          <w:lang w:val="el-GR"/>
        </w:rPr>
        <w:t xml:space="preserve"> Ορισμένα από τα δευτερεύοντα καταληκτικά σημεία ήταν η καθυστέρηση του χρόνου έως την εξέλιξη της αναπηρίας με </w:t>
      </w:r>
      <w:r w:rsidR="009C6F53">
        <w:rPr>
          <w:rFonts w:cstheme="minorHAnsi"/>
          <w:color w:val="000000"/>
          <w:lang w:val="el-GR"/>
        </w:rPr>
        <w:t xml:space="preserve">εξάμηνη </w:t>
      </w:r>
      <w:r w:rsidRPr="003012B8">
        <w:rPr>
          <w:rFonts w:cstheme="minorHAnsi"/>
          <w:color w:val="000000"/>
          <w:lang w:val="el-GR"/>
        </w:rPr>
        <w:t xml:space="preserve">επιβεβαίωση έναντι του εικονικού φαρμάκου, ο χρόνος έως την </w:t>
      </w:r>
      <w:r w:rsidR="009C6F53">
        <w:rPr>
          <w:rFonts w:cstheme="minorHAnsi"/>
          <w:color w:val="000000"/>
          <w:lang w:val="el-GR"/>
        </w:rPr>
        <w:t xml:space="preserve">επιβεβαιωμένη </w:t>
      </w:r>
      <w:r w:rsidRPr="003012B8">
        <w:rPr>
          <w:rFonts w:cstheme="minorHAnsi"/>
          <w:color w:val="000000"/>
          <w:lang w:val="el-GR"/>
        </w:rPr>
        <w:t>επιδείνωση κατά τουλάχιστον 20% από την αρχική τιμή στη χρονομετρημένη δοκιμασία βάδισης απόστασης 25 ποδιών (</w:t>
      </w:r>
      <w:r>
        <w:rPr>
          <w:rFonts w:cstheme="minorHAnsi"/>
          <w:color w:val="000000"/>
        </w:rPr>
        <w:t>T</w:t>
      </w:r>
      <w:r w:rsidRPr="003012B8">
        <w:rPr>
          <w:rFonts w:cstheme="minorHAnsi"/>
          <w:color w:val="000000"/>
          <w:lang w:val="el-GR"/>
        </w:rPr>
        <w:t>25</w:t>
      </w:r>
      <w:r>
        <w:rPr>
          <w:rFonts w:cstheme="minorHAnsi"/>
          <w:color w:val="000000"/>
        </w:rPr>
        <w:t>FW</w:t>
      </w:r>
      <w:r w:rsidRPr="003012B8">
        <w:rPr>
          <w:rFonts w:cstheme="minorHAnsi"/>
          <w:color w:val="000000"/>
          <w:lang w:val="el-GR"/>
        </w:rPr>
        <w:t xml:space="preserve">), ο όγκος των </w:t>
      </w:r>
      <w:r>
        <w:rPr>
          <w:rFonts w:cstheme="minorHAnsi"/>
          <w:color w:val="000000"/>
        </w:rPr>
        <w:t>T</w:t>
      </w:r>
      <w:r w:rsidRPr="003012B8">
        <w:rPr>
          <w:rFonts w:cstheme="minorHAnsi"/>
          <w:color w:val="000000"/>
          <w:lang w:val="el-GR"/>
        </w:rPr>
        <w:t>2</w:t>
      </w:r>
      <w:r w:rsidR="009C6F53">
        <w:rPr>
          <w:rFonts w:cstheme="minorHAnsi"/>
          <w:color w:val="000000"/>
          <w:lang w:val="el-GR"/>
        </w:rPr>
        <w:t xml:space="preserve"> βλαβών</w:t>
      </w:r>
      <w:r w:rsidRPr="003012B8">
        <w:rPr>
          <w:rFonts w:cstheme="minorHAnsi"/>
          <w:color w:val="000000"/>
          <w:lang w:val="el-GR"/>
        </w:rPr>
        <w:t xml:space="preserve">, το </w:t>
      </w:r>
      <w:proofErr w:type="spellStart"/>
      <w:r w:rsidRPr="003012B8">
        <w:rPr>
          <w:rFonts w:cstheme="minorHAnsi"/>
          <w:color w:val="000000"/>
          <w:lang w:val="el-GR"/>
        </w:rPr>
        <w:t>ετησιοποιημένο</w:t>
      </w:r>
      <w:proofErr w:type="spellEnd"/>
      <w:r w:rsidRPr="003012B8">
        <w:rPr>
          <w:rFonts w:cstheme="minorHAnsi"/>
          <w:color w:val="000000"/>
          <w:lang w:val="el-GR"/>
        </w:rPr>
        <w:t xml:space="preserve"> ποσοστό υποτροπών (</w:t>
      </w:r>
      <w:r>
        <w:rPr>
          <w:rFonts w:cstheme="minorHAnsi"/>
          <w:color w:val="000000"/>
        </w:rPr>
        <w:t>ARR</w:t>
      </w:r>
      <w:r w:rsidRPr="003012B8">
        <w:rPr>
          <w:rFonts w:cstheme="minorHAnsi"/>
          <w:color w:val="000000"/>
          <w:lang w:val="el-GR"/>
        </w:rPr>
        <w:t>) και η ασφάλεια και η αν</w:t>
      </w:r>
      <w:r w:rsidR="009C6F53">
        <w:rPr>
          <w:rFonts w:cstheme="minorHAnsi"/>
          <w:color w:val="000000"/>
          <w:lang w:val="el-GR"/>
        </w:rPr>
        <w:t>οχή</w:t>
      </w:r>
      <w:r w:rsidRPr="003012B8">
        <w:rPr>
          <w:rFonts w:cstheme="minorHAnsi"/>
          <w:color w:val="000000"/>
          <w:lang w:val="el-GR"/>
        </w:rPr>
        <w:t xml:space="preserve"> του </w:t>
      </w:r>
      <w:r>
        <w:rPr>
          <w:rFonts w:cstheme="minorHAnsi"/>
          <w:color w:val="000000"/>
        </w:rPr>
        <w:t>BAF</w:t>
      </w:r>
      <w:r w:rsidRPr="003012B8">
        <w:rPr>
          <w:rFonts w:cstheme="minorHAnsi"/>
          <w:color w:val="000000"/>
          <w:lang w:val="el-GR"/>
        </w:rPr>
        <w:t xml:space="preserve">312 σε ανθρώπους με </w:t>
      </w:r>
      <w:r>
        <w:rPr>
          <w:rFonts w:cstheme="minorHAnsi"/>
          <w:color w:val="000000"/>
        </w:rPr>
        <w:t>SPMS</w:t>
      </w:r>
      <w:r w:rsidRPr="003012B8">
        <w:rPr>
          <w:rFonts w:cstheme="minorHAnsi"/>
          <w:color w:val="000000"/>
          <w:lang w:val="el-GR"/>
        </w:rPr>
        <w:t>.</w:t>
      </w:r>
      <w:r w:rsidRPr="003012B8">
        <w:rPr>
          <w:rFonts w:cstheme="minorHAnsi"/>
          <w:color w:val="000000"/>
          <w:vertAlign w:val="superscript"/>
          <w:lang w:val="el-GR"/>
        </w:rPr>
        <w:t>1,5</w:t>
      </w:r>
    </w:p>
    <w:p w:rsidR="00A17BF6" w:rsidRPr="003012B8" w:rsidRDefault="00A17BF6" w:rsidP="00FC3BF8">
      <w:pPr>
        <w:autoSpaceDE w:val="0"/>
        <w:autoSpaceDN w:val="0"/>
        <w:adjustRightInd w:val="0"/>
        <w:jc w:val="both"/>
        <w:rPr>
          <w:rFonts w:cstheme="minorHAnsi"/>
          <w:bCs/>
          <w:color w:val="000000"/>
          <w:lang w:val="el-GR"/>
        </w:rPr>
      </w:pPr>
    </w:p>
    <w:p w:rsidR="00500737" w:rsidRPr="003012B8" w:rsidRDefault="00500737" w:rsidP="00FC3BF8">
      <w:pPr>
        <w:autoSpaceDE w:val="0"/>
        <w:autoSpaceDN w:val="0"/>
        <w:adjustRightInd w:val="0"/>
        <w:jc w:val="both"/>
        <w:rPr>
          <w:rFonts w:cstheme="minorHAnsi"/>
          <w:b/>
          <w:bCs/>
          <w:color w:val="000000"/>
          <w:lang w:val="el-GR"/>
        </w:rPr>
      </w:pPr>
      <w:r w:rsidRPr="003012B8">
        <w:rPr>
          <w:rFonts w:cstheme="minorHAnsi"/>
          <w:b/>
          <w:color w:val="000000"/>
          <w:lang w:val="el-GR"/>
        </w:rPr>
        <w:t xml:space="preserve">Σχετικά με το </w:t>
      </w:r>
      <w:r>
        <w:rPr>
          <w:rFonts w:cstheme="minorHAnsi"/>
          <w:b/>
          <w:color w:val="000000"/>
        </w:rPr>
        <w:t>BAF</w:t>
      </w:r>
      <w:r w:rsidRPr="003012B8">
        <w:rPr>
          <w:rFonts w:cstheme="minorHAnsi"/>
          <w:b/>
          <w:color w:val="000000"/>
          <w:lang w:val="el-GR"/>
        </w:rPr>
        <w:t>312 (</w:t>
      </w:r>
      <w:proofErr w:type="spellStart"/>
      <w:r w:rsidRPr="003012B8">
        <w:rPr>
          <w:rFonts w:cstheme="minorHAnsi"/>
          <w:b/>
          <w:color w:val="000000"/>
          <w:lang w:val="el-GR"/>
        </w:rPr>
        <w:t>σιπονιμόδη</w:t>
      </w:r>
      <w:proofErr w:type="spellEnd"/>
      <w:r w:rsidRPr="003012B8">
        <w:rPr>
          <w:rFonts w:cstheme="minorHAnsi"/>
          <w:b/>
          <w:color w:val="000000"/>
          <w:lang w:val="el-GR"/>
        </w:rPr>
        <w:t>)</w:t>
      </w:r>
    </w:p>
    <w:p w:rsidR="00A1655B" w:rsidRPr="003012B8" w:rsidRDefault="00A04CCE" w:rsidP="00FC3BF8">
      <w:pPr>
        <w:autoSpaceDE w:val="0"/>
        <w:autoSpaceDN w:val="0"/>
        <w:adjustRightInd w:val="0"/>
        <w:jc w:val="both"/>
        <w:rPr>
          <w:rFonts w:ascii="Arial" w:hAnsi="Arial" w:cs="Arial"/>
          <w:lang w:val="el-GR"/>
        </w:rPr>
      </w:pPr>
      <w:r w:rsidRPr="003012B8">
        <w:rPr>
          <w:rFonts w:ascii="Arial" w:hAnsi="Arial"/>
          <w:lang w:val="el-GR"/>
        </w:rPr>
        <w:t xml:space="preserve">Το </w:t>
      </w:r>
      <w:r>
        <w:rPr>
          <w:rFonts w:ascii="Arial" w:hAnsi="Arial"/>
        </w:rPr>
        <w:t>BAF</w:t>
      </w:r>
      <w:r w:rsidRPr="003012B8">
        <w:rPr>
          <w:rFonts w:ascii="Arial" w:hAnsi="Arial"/>
          <w:lang w:val="el-GR"/>
        </w:rPr>
        <w:t>312 (</w:t>
      </w:r>
      <w:proofErr w:type="spellStart"/>
      <w:r w:rsidRPr="003012B8">
        <w:rPr>
          <w:rFonts w:ascii="Arial" w:hAnsi="Arial"/>
          <w:lang w:val="el-GR"/>
        </w:rPr>
        <w:t>σιπονιμόδη</w:t>
      </w:r>
      <w:proofErr w:type="spellEnd"/>
      <w:r w:rsidRPr="003012B8">
        <w:rPr>
          <w:rFonts w:ascii="Arial" w:hAnsi="Arial"/>
          <w:lang w:val="el-GR"/>
        </w:rPr>
        <w:t xml:space="preserve">) είναι ένας επιστημονικά σχεδιασμένος, εκλεκτικός </w:t>
      </w:r>
      <w:proofErr w:type="spellStart"/>
      <w:r w:rsidRPr="003012B8">
        <w:rPr>
          <w:rFonts w:ascii="Arial" w:hAnsi="Arial"/>
          <w:lang w:val="el-GR"/>
        </w:rPr>
        <w:t>τροποποιητής</w:t>
      </w:r>
      <w:proofErr w:type="spellEnd"/>
      <w:r w:rsidRPr="003012B8">
        <w:rPr>
          <w:rFonts w:ascii="Arial" w:hAnsi="Arial"/>
          <w:lang w:val="el-GR"/>
        </w:rPr>
        <w:t xml:space="preserve"> του υποδοχέα της φωσφορικής σφιγγοσίνης-1 (</w:t>
      </w:r>
      <w:r>
        <w:rPr>
          <w:rFonts w:ascii="Arial" w:hAnsi="Arial"/>
        </w:rPr>
        <w:t>S</w:t>
      </w:r>
      <w:r w:rsidRPr="003012B8">
        <w:rPr>
          <w:rFonts w:ascii="Arial" w:hAnsi="Arial"/>
          <w:lang w:val="el-GR"/>
        </w:rPr>
        <w:t>1</w:t>
      </w:r>
      <w:r>
        <w:rPr>
          <w:rFonts w:ascii="Arial" w:hAnsi="Arial"/>
        </w:rPr>
        <w:t>P</w:t>
      </w:r>
      <w:r w:rsidRPr="003012B8">
        <w:rPr>
          <w:rFonts w:ascii="Arial" w:hAnsi="Arial"/>
          <w:lang w:val="el-GR"/>
        </w:rPr>
        <w:t>).</w:t>
      </w:r>
      <w:r w:rsidRPr="003012B8">
        <w:rPr>
          <w:rFonts w:ascii="Arial" w:hAnsi="Arial"/>
          <w:vertAlign w:val="superscript"/>
          <w:lang w:val="el-GR"/>
        </w:rPr>
        <w:t xml:space="preserve">3 </w:t>
      </w:r>
      <w:r>
        <w:rPr>
          <w:rFonts w:ascii="Arial" w:hAnsi="Arial"/>
          <w:vertAlign w:val="superscript"/>
        </w:rPr>
        <w:t> </w:t>
      </w:r>
      <w:r w:rsidRPr="003012B8">
        <w:rPr>
          <w:rFonts w:ascii="Arial" w:hAnsi="Arial"/>
          <w:lang w:val="el-GR"/>
        </w:rPr>
        <w:t xml:space="preserve">Το </w:t>
      </w:r>
      <w:r>
        <w:rPr>
          <w:rFonts w:ascii="Arial" w:hAnsi="Arial"/>
        </w:rPr>
        <w:t>BAF</w:t>
      </w:r>
      <w:r w:rsidRPr="003012B8">
        <w:rPr>
          <w:rFonts w:ascii="Arial" w:hAnsi="Arial"/>
          <w:lang w:val="el-GR"/>
        </w:rPr>
        <w:t xml:space="preserve">312 δεσμεύεται στον ειδικό υποδοχέα </w:t>
      </w:r>
      <w:r>
        <w:rPr>
          <w:rFonts w:ascii="Arial" w:hAnsi="Arial"/>
        </w:rPr>
        <w:t>S</w:t>
      </w:r>
      <w:r w:rsidRPr="003012B8">
        <w:rPr>
          <w:rFonts w:ascii="Arial" w:hAnsi="Arial"/>
          <w:lang w:val="el-GR"/>
        </w:rPr>
        <w:t>1</w:t>
      </w:r>
      <w:r>
        <w:rPr>
          <w:rFonts w:ascii="Arial" w:hAnsi="Arial"/>
        </w:rPr>
        <w:t>P</w:t>
      </w:r>
      <w:r w:rsidRPr="003012B8">
        <w:rPr>
          <w:rFonts w:ascii="Arial" w:hAnsi="Arial"/>
          <w:lang w:val="el-GR"/>
        </w:rPr>
        <w:t xml:space="preserve">1 στα λεμφοκύτταρα και αποτρέπει την είσοδό τους στο </w:t>
      </w:r>
      <w:r w:rsidR="009C6F53">
        <w:rPr>
          <w:rFonts w:ascii="Arial" w:hAnsi="Arial"/>
          <w:lang w:val="el-GR"/>
        </w:rPr>
        <w:t>Κ</w:t>
      </w:r>
      <w:r w:rsidRPr="003012B8">
        <w:rPr>
          <w:rFonts w:ascii="Arial" w:hAnsi="Arial"/>
          <w:lang w:val="el-GR"/>
        </w:rPr>
        <w:t xml:space="preserve">εντρικό </w:t>
      </w:r>
      <w:r w:rsidR="009C6F53">
        <w:rPr>
          <w:rFonts w:ascii="Arial" w:hAnsi="Arial"/>
          <w:lang w:val="el-GR"/>
        </w:rPr>
        <w:t>Ν</w:t>
      </w:r>
      <w:r w:rsidRPr="003012B8">
        <w:rPr>
          <w:rFonts w:ascii="Arial" w:hAnsi="Arial"/>
          <w:lang w:val="el-GR"/>
        </w:rPr>
        <w:t xml:space="preserve">ευρικό </w:t>
      </w:r>
      <w:r w:rsidR="009C6F53">
        <w:rPr>
          <w:rFonts w:ascii="Arial" w:hAnsi="Arial"/>
          <w:lang w:val="el-GR"/>
        </w:rPr>
        <w:t>Σ</w:t>
      </w:r>
      <w:r w:rsidRPr="003012B8">
        <w:rPr>
          <w:rFonts w:ascii="Arial" w:hAnsi="Arial"/>
          <w:lang w:val="el-GR"/>
        </w:rPr>
        <w:t xml:space="preserve">ύστημα (ΚΝΣ) των ασθενών με </w:t>
      </w:r>
      <w:r w:rsidR="009C6F53">
        <w:rPr>
          <w:rFonts w:ascii="Arial" w:hAnsi="Arial"/>
          <w:lang w:val="el-GR"/>
        </w:rPr>
        <w:t>Π</w:t>
      </w:r>
      <w:r w:rsidRPr="003012B8">
        <w:rPr>
          <w:rFonts w:ascii="Arial" w:hAnsi="Arial"/>
          <w:lang w:val="el-GR"/>
        </w:rPr>
        <w:t xml:space="preserve">ολλαπλή </w:t>
      </w:r>
      <w:r w:rsidR="009C6F53">
        <w:rPr>
          <w:rFonts w:ascii="Arial" w:hAnsi="Arial"/>
          <w:lang w:val="el-GR"/>
        </w:rPr>
        <w:t>Σ</w:t>
      </w:r>
      <w:r w:rsidRPr="003012B8">
        <w:rPr>
          <w:rFonts w:ascii="Arial" w:hAnsi="Arial"/>
          <w:lang w:val="el-GR"/>
        </w:rPr>
        <w:t>κλήρυνση (ΠΣ).</w:t>
      </w:r>
      <w:r w:rsidRPr="003012B8">
        <w:rPr>
          <w:rFonts w:ascii="Arial" w:hAnsi="Arial"/>
          <w:vertAlign w:val="superscript"/>
          <w:lang w:val="el-GR"/>
        </w:rPr>
        <w:t>7,8</w:t>
      </w:r>
      <w:r w:rsidRPr="003012B8">
        <w:rPr>
          <w:rFonts w:ascii="Arial" w:hAnsi="Arial"/>
          <w:lang w:val="el-GR"/>
        </w:rPr>
        <w:t xml:space="preserve"> Αυτό οδηγεί στην αντιφλεγμονώδη δράση του </w:t>
      </w:r>
      <w:r>
        <w:rPr>
          <w:rFonts w:ascii="Arial" w:hAnsi="Arial"/>
        </w:rPr>
        <w:t>BAF</w:t>
      </w:r>
      <w:r w:rsidRPr="003012B8">
        <w:rPr>
          <w:rFonts w:ascii="Arial" w:hAnsi="Arial"/>
          <w:lang w:val="el-GR"/>
        </w:rPr>
        <w:t>312.</w:t>
      </w:r>
      <w:r w:rsidRPr="003012B8">
        <w:rPr>
          <w:rFonts w:ascii="Arial" w:hAnsi="Arial"/>
          <w:vertAlign w:val="superscript"/>
          <w:lang w:val="el-GR"/>
        </w:rPr>
        <w:t>7,8</w:t>
      </w:r>
      <w:r>
        <w:rPr>
          <w:rFonts w:ascii="Arial" w:hAnsi="Arial"/>
        </w:rPr>
        <w:t> </w:t>
      </w:r>
    </w:p>
    <w:p w:rsidR="00A04CCE" w:rsidRPr="003012B8" w:rsidRDefault="00A04CCE" w:rsidP="00FC3BF8">
      <w:pPr>
        <w:autoSpaceDE w:val="0"/>
        <w:autoSpaceDN w:val="0"/>
        <w:adjustRightInd w:val="0"/>
        <w:jc w:val="both"/>
        <w:rPr>
          <w:rFonts w:ascii="Arial" w:hAnsi="Arial" w:cs="Arial"/>
          <w:vertAlign w:val="superscript"/>
          <w:lang w:val="el-GR"/>
        </w:rPr>
      </w:pPr>
      <w:r w:rsidRPr="003012B8">
        <w:rPr>
          <w:rFonts w:ascii="Arial" w:hAnsi="Arial"/>
          <w:lang w:val="el-GR"/>
        </w:rPr>
        <w:t xml:space="preserve">Οι ειδικοί τύποι του υποδοχέα </w:t>
      </w:r>
      <w:r>
        <w:rPr>
          <w:rFonts w:ascii="Arial" w:hAnsi="Arial"/>
        </w:rPr>
        <w:t>S</w:t>
      </w:r>
      <w:r w:rsidRPr="003012B8">
        <w:rPr>
          <w:rFonts w:ascii="Arial" w:hAnsi="Arial"/>
          <w:lang w:val="el-GR"/>
        </w:rPr>
        <w:t>1</w:t>
      </w:r>
      <w:r>
        <w:rPr>
          <w:rFonts w:ascii="Arial" w:hAnsi="Arial"/>
        </w:rPr>
        <w:t>P</w:t>
      </w:r>
      <w:r w:rsidRPr="003012B8">
        <w:rPr>
          <w:rFonts w:ascii="Arial" w:hAnsi="Arial"/>
          <w:lang w:val="el-GR"/>
        </w:rPr>
        <w:t xml:space="preserve"> τους οποίους στοχεύει το </w:t>
      </w:r>
      <w:r>
        <w:rPr>
          <w:rFonts w:ascii="Arial" w:hAnsi="Arial"/>
        </w:rPr>
        <w:t>BAF</w:t>
      </w:r>
      <w:r w:rsidRPr="003012B8">
        <w:rPr>
          <w:rFonts w:ascii="Arial" w:hAnsi="Arial"/>
          <w:lang w:val="el-GR"/>
        </w:rPr>
        <w:t>312 βρίσκονται επίσης στην επιφάνεια των κυττάρων στο ΚΝΣ, τα οποία παίζουν ρόλο στην πρ</w:t>
      </w:r>
      <w:r w:rsidR="00B52252">
        <w:rPr>
          <w:rFonts w:ascii="Arial" w:hAnsi="Arial"/>
          <w:lang w:val="el-GR"/>
        </w:rPr>
        <w:t>όκληση</w:t>
      </w:r>
      <w:r w:rsidRPr="003012B8">
        <w:rPr>
          <w:rFonts w:ascii="Arial" w:hAnsi="Arial"/>
          <w:lang w:val="el-GR"/>
        </w:rPr>
        <w:t xml:space="preserve"> της </w:t>
      </w:r>
      <w:proofErr w:type="spellStart"/>
      <w:r w:rsidR="009C6F53">
        <w:rPr>
          <w:rFonts w:ascii="Arial" w:hAnsi="Arial"/>
          <w:lang w:val="el-GR"/>
        </w:rPr>
        <w:t>Δ</w:t>
      </w:r>
      <w:r w:rsidRPr="003012B8">
        <w:rPr>
          <w:rFonts w:ascii="Arial" w:hAnsi="Arial"/>
          <w:lang w:val="el-GR"/>
        </w:rPr>
        <w:t>ευτεροπαθώς</w:t>
      </w:r>
      <w:proofErr w:type="spellEnd"/>
      <w:r w:rsidRPr="003012B8">
        <w:rPr>
          <w:rFonts w:ascii="Arial" w:hAnsi="Arial"/>
          <w:lang w:val="el-GR"/>
        </w:rPr>
        <w:t xml:space="preserve"> </w:t>
      </w:r>
      <w:r w:rsidR="009C6F53">
        <w:rPr>
          <w:rFonts w:ascii="Arial" w:hAnsi="Arial"/>
          <w:lang w:val="el-GR"/>
        </w:rPr>
        <w:t>Π</w:t>
      </w:r>
      <w:r w:rsidRPr="003012B8">
        <w:rPr>
          <w:rFonts w:ascii="Arial" w:hAnsi="Arial"/>
          <w:lang w:val="el-GR"/>
        </w:rPr>
        <w:t>ροϊούσας ΠΣ (</w:t>
      </w:r>
      <w:r>
        <w:rPr>
          <w:rFonts w:ascii="Arial" w:hAnsi="Arial"/>
        </w:rPr>
        <w:t>SPMS</w:t>
      </w:r>
      <w:r w:rsidRPr="003012B8">
        <w:rPr>
          <w:rFonts w:ascii="Arial" w:hAnsi="Arial"/>
          <w:lang w:val="el-GR"/>
        </w:rPr>
        <w:t xml:space="preserve">). Το </w:t>
      </w:r>
      <w:r>
        <w:rPr>
          <w:rFonts w:ascii="Arial" w:hAnsi="Arial"/>
        </w:rPr>
        <w:t>BAF</w:t>
      </w:r>
      <w:r w:rsidRPr="003012B8">
        <w:rPr>
          <w:rFonts w:ascii="Arial" w:hAnsi="Arial"/>
          <w:lang w:val="el-GR"/>
        </w:rPr>
        <w:t xml:space="preserve">312 εισέρχεται στο ΚΝΣ και δεσμευόμενο σε αυτούς τους </w:t>
      </w:r>
      <w:r w:rsidRPr="003012B8">
        <w:rPr>
          <w:rFonts w:ascii="Arial" w:hAnsi="Arial"/>
          <w:lang w:val="el-GR"/>
        </w:rPr>
        <w:lastRenderedPageBreak/>
        <w:t xml:space="preserve">συγκεκριμένους υποδοχείς, έχει τη δυνατότητα να τροποποιήσει την καταστροφική δράση </w:t>
      </w:r>
      <w:r w:rsidR="009C6F53">
        <w:rPr>
          <w:rFonts w:ascii="Arial" w:hAnsi="Arial"/>
          <w:lang w:val="el-GR"/>
        </w:rPr>
        <w:t>στα</w:t>
      </w:r>
      <w:r w:rsidRPr="003012B8">
        <w:rPr>
          <w:rFonts w:ascii="Arial" w:hAnsi="Arial"/>
          <w:lang w:val="el-GR"/>
        </w:rPr>
        <w:t xml:space="preserve"> </w:t>
      </w:r>
      <w:r w:rsidR="009C6F53">
        <w:rPr>
          <w:rFonts w:ascii="Arial" w:hAnsi="Arial"/>
          <w:lang w:val="el-GR"/>
        </w:rPr>
        <w:t>κύτταρα</w:t>
      </w:r>
      <w:r w:rsidR="009B2B8C">
        <w:rPr>
          <w:rFonts w:ascii="Arial" w:hAnsi="Arial"/>
          <w:lang w:val="el-GR"/>
        </w:rPr>
        <w:t xml:space="preserve"> </w:t>
      </w:r>
      <w:r w:rsidRPr="003012B8">
        <w:rPr>
          <w:rFonts w:ascii="Arial" w:hAnsi="Arial"/>
          <w:lang w:val="el-GR"/>
        </w:rPr>
        <w:t xml:space="preserve">και να βοηθήσει στη μείωση της απώλειας νευρολογικής λειτουργίας που σχετίζεται με την </w:t>
      </w:r>
      <w:r>
        <w:rPr>
          <w:rFonts w:ascii="Arial" w:hAnsi="Arial"/>
        </w:rPr>
        <w:t>SPMS</w:t>
      </w:r>
      <w:r w:rsidRPr="003012B8">
        <w:rPr>
          <w:rFonts w:ascii="Arial" w:hAnsi="Arial"/>
          <w:lang w:val="el-GR"/>
        </w:rPr>
        <w:t>.</w:t>
      </w:r>
      <w:r w:rsidRPr="003012B8">
        <w:rPr>
          <w:rFonts w:ascii="Arial" w:hAnsi="Arial"/>
          <w:vertAlign w:val="superscript"/>
          <w:lang w:val="el-GR"/>
        </w:rPr>
        <w:t>3, 9-11</w:t>
      </w:r>
      <w:r>
        <w:rPr>
          <w:rFonts w:ascii="Arial" w:hAnsi="Arial"/>
          <w:vertAlign w:val="superscript"/>
        </w:rPr>
        <w:t> </w:t>
      </w:r>
      <w:r w:rsidRPr="003012B8">
        <w:rPr>
          <w:rFonts w:ascii="Arial" w:hAnsi="Arial"/>
          <w:lang w:val="el-GR"/>
        </w:rPr>
        <w:t xml:space="preserve">Η εξειδίκευση ως προς τον υποδοχέα και οι </w:t>
      </w:r>
      <w:proofErr w:type="spellStart"/>
      <w:r w:rsidRPr="003012B8">
        <w:rPr>
          <w:rFonts w:ascii="Arial" w:hAnsi="Arial"/>
          <w:lang w:val="el-GR"/>
        </w:rPr>
        <w:t>φαρμακοκινητικές</w:t>
      </w:r>
      <w:proofErr w:type="spellEnd"/>
      <w:r w:rsidRPr="003012B8">
        <w:rPr>
          <w:rFonts w:ascii="Arial" w:hAnsi="Arial"/>
          <w:lang w:val="el-GR"/>
        </w:rPr>
        <w:t xml:space="preserve"> ιδιότητες </w:t>
      </w:r>
      <w:r w:rsidR="009B2B8C" w:rsidRPr="003012B8">
        <w:rPr>
          <w:rFonts w:ascii="Arial" w:hAnsi="Arial"/>
          <w:lang w:val="el-GR"/>
        </w:rPr>
        <w:t xml:space="preserve">του </w:t>
      </w:r>
      <w:r w:rsidR="009B2B8C">
        <w:rPr>
          <w:rFonts w:ascii="Arial" w:hAnsi="Arial"/>
        </w:rPr>
        <w:t>BAF</w:t>
      </w:r>
      <w:r w:rsidR="009B2B8C" w:rsidRPr="003012B8">
        <w:rPr>
          <w:rFonts w:ascii="Arial" w:hAnsi="Arial"/>
          <w:lang w:val="el-GR"/>
        </w:rPr>
        <w:t xml:space="preserve">312 </w:t>
      </w:r>
      <w:r w:rsidRPr="003012B8">
        <w:rPr>
          <w:rFonts w:ascii="Arial" w:hAnsi="Arial"/>
          <w:lang w:val="el-GR"/>
        </w:rPr>
        <w:t>(π.χ. η ταχύτερη εξουδετέρωση σε σ</w:t>
      </w:r>
      <w:r w:rsidR="009B2B8C">
        <w:rPr>
          <w:rFonts w:ascii="Arial" w:hAnsi="Arial"/>
          <w:lang w:val="el-GR"/>
        </w:rPr>
        <w:t xml:space="preserve">ύγκριση με τους </w:t>
      </w:r>
      <w:proofErr w:type="spellStart"/>
      <w:r w:rsidR="009B2B8C">
        <w:rPr>
          <w:rFonts w:ascii="Arial" w:hAnsi="Arial"/>
          <w:lang w:val="el-GR"/>
        </w:rPr>
        <w:t>τροποποιητές</w:t>
      </w:r>
      <w:proofErr w:type="spellEnd"/>
      <w:r w:rsidR="009B2B8C">
        <w:rPr>
          <w:rFonts w:ascii="Arial" w:hAnsi="Arial"/>
          <w:lang w:val="el-GR"/>
        </w:rPr>
        <w:t xml:space="preserve"> των</w:t>
      </w:r>
      <w:r w:rsidRPr="003012B8">
        <w:rPr>
          <w:rFonts w:ascii="Arial" w:hAnsi="Arial"/>
          <w:lang w:val="el-GR"/>
        </w:rPr>
        <w:t xml:space="preserve"> </w:t>
      </w:r>
      <w:r>
        <w:rPr>
          <w:rFonts w:ascii="Arial" w:hAnsi="Arial"/>
        </w:rPr>
        <w:t>S</w:t>
      </w:r>
      <w:r w:rsidRPr="003012B8">
        <w:rPr>
          <w:rFonts w:ascii="Arial" w:hAnsi="Arial"/>
          <w:lang w:val="el-GR"/>
        </w:rPr>
        <w:t>1</w:t>
      </w:r>
      <w:r>
        <w:rPr>
          <w:rFonts w:ascii="Arial" w:hAnsi="Arial"/>
        </w:rPr>
        <w:t>P</w:t>
      </w:r>
      <w:r w:rsidRPr="003012B8">
        <w:rPr>
          <w:rFonts w:ascii="Arial" w:hAnsi="Arial"/>
          <w:lang w:val="el-GR"/>
        </w:rPr>
        <w:t xml:space="preserve"> πρώτης γενιάς)</w:t>
      </w:r>
      <w:r w:rsidR="009B2B8C">
        <w:rPr>
          <w:rFonts w:ascii="Arial" w:hAnsi="Arial"/>
          <w:lang w:val="el-GR"/>
        </w:rPr>
        <w:t>,</w:t>
      </w:r>
      <w:r w:rsidRPr="003012B8">
        <w:rPr>
          <w:rFonts w:ascii="Arial" w:hAnsi="Arial"/>
          <w:lang w:val="el-GR"/>
        </w:rPr>
        <w:t xml:space="preserve"> διευκολύνουν την ικανότητά του να ασκεί επίδραση σε νόσους όπως η </w:t>
      </w:r>
      <w:r>
        <w:rPr>
          <w:rFonts w:ascii="Arial" w:hAnsi="Arial"/>
        </w:rPr>
        <w:t>SPMS</w:t>
      </w:r>
      <w:r w:rsidRPr="003012B8">
        <w:rPr>
          <w:rFonts w:ascii="Arial" w:hAnsi="Arial"/>
          <w:lang w:val="el-GR"/>
        </w:rPr>
        <w:t>, βελτιώνοντας παράλληλα το προφίλ ασφάλειας και ευκολίας του.</w:t>
      </w:r>
      <w:r w:rsidRPr="003012B8">
        <w:rPr>
          <w:rFonts w:ascii="Arial" w:hAnsi="Arial"/>
          <w:vertAlign w:val="superscript"/>
          <w:lang w:val="el-GR"/>
        </w:rPr>
        <w:t>3</w:t>
      </w:r>
    </w:p>
    <w:p w:rsidR="009B2B8C" w:rsidRPr="003012B8" w:rsidRDefault="009B2B8C" w:rsidP="00FC3BF8">
      <w:pPr>
        <w:autoSpaceDE w:val="0"/>
        <w:autoSpaceDN w:val="0"/>
        <w:adjustRightInd w:val="0"/>
        <w:jc w:val="both"/>
        <w:rPr>
          <w:rFonts w:ascii="Arial" w:hAnsi="Arial" w:cs="Arial"/>
          <w:vertAlign w:val="superscript"/>
          <w:lang w:val="el-GR"/>
        </w:rPr>
      </w:pPr>
    </w:p>
    <w:p w:rsidR="002D4CD0" w:rsidRPr="003012B8" w:rsidRDefault="002D4CD0" w:rsidP="00FC3BF8">
      <w:pPr>
        <w:autoSpaceDE w:val="0"/>
        <w:autoSpaceDN w:val="0"/>
        <w:adjustRightInd w:val="0"/>
        <w:jc w:val="both"/>
        <w:rPr>
          <w:rFonts w:cstheme="minorHAnsi"/>
          <w:bCs/>
          <w:strike/>
          <w:color w:val="FF0000"/>
          <w:vertAlign w:val="superscript"/>
          <w:lang w:val="el-GR"/>
        </w:rPr>
      </w:pPr>
    </w:p>
    <w:p w:rsidR="00500737" w:rsidRPr="003012B8" w:rsidRDefault="00500737" w:rsidP="00FC3BF8">
      <w:pPr>
        <w:autoSpaceDE w:val="0"/>
        <w:autoSpaceDN w:val="0"/>
        <w:adjustRightInd w:val="0"/>
        <w:jc w:val="both"/>
        <w:rPr>
          <w:rFonts w:cstheme="minorHAnsi"/>
          <w:b/>
          <w:bCs/>
          <w:color w:val="000000"/>
          <w:lang w:val="el-GR"/>
        </w:rPr>
      </w:pPr>
      <w:r w:rsidRPr="003012B8">
        <w:rPr>
          <w:rFonts w:cstheme="minorHAnsi"/>
          <w:b/>
          <w:color w:val="000000"/>
          <w:lang w:val="el-GR"/>
        </w:rPr>
        <w:t>Σχετικά με την πολλαπλή σκλήρυνση</w:t>
      </w:r>
    </w:p>
    <w:p w:rsidR="00500737" w:rsidRPr="003012B8" w:rsidRDefault="00500737" w:rsidP="00FC3BF8">
      <w:pPr>
        <w:autoSpaceDE w:val="0"/>
        <w:autoSpaceDN w:val="0"/>
        <w:adjustRightInd w:val="0"/>
        <w:jc w:val="both"/>
        <w:rPr>
          <w:rFonts w:cstheme="minorHAnsi"/>
          <w:bCs/>
          <w:color w:val="000000"/>
          <w:vertAlign w:val="superscript"/>
          <w:lang w:val="el-GR"/>
        </w:rPr>
      </w:pPr>
      <w:r w:rsidRPr="003012B8">
        <w:rPr>
          <w:rFonts w:cstheme="minorHAnsi"/>
          <w:color w:val="000000"/>
          <w:lang w:val="el-GR"/>
        </w:rPr>
        <w:t xml:space="preserve">Η </w:t>
      </w:r>
      <w:r w:rsidR="00553C78">
        <w:rPr>
          <w:rFonts w:cstheme="minorHAnsi"/>
          <w:color w:val="000000"/>
          <w:lang w:val="el-GR"/>
        </w:rPr>
        <w:t>Π</w:t>
      </w:r>
      <w:r w:rsidRPr="003012B8">
        <w:rPr>
          <w:rFonts w:cstheme="minorHAnsi"/>
          <w:color w:val="000000"/>
          <w:lang w:val="el-GR"/>
        </w:rPr>
        <w:t xml:space="preserve">ολλαπλή </w:t>
      </w:r>
      <w:r w:rsidR="00553C78">
        <w:rPr>
          <w:rFonts w:cstheme="minorHAnsi"/>
          <w:color w:val="000000"/>
          <w:lang w:val="el-GR"/>
        </w:rPr>
        <w:t>Σ</w:t>
      </w:r>
      <w:r w:rsidRPr="003012B8">
        <w:rPr>
          <w:rFonts w:cstheme="minorHAnsi"/>
          <w:color w:val="000000"/>
          <w:lang w:val="el-GR"/>
        </w:rPr>
        <w:t xml:space="preserve">κλήρυνση (ΠΣ) είναι μία χρόνια διαταραχή του </w:t>
      </w:r>
      <w:r w:rsidR="00553C78">
        <w:rPr>
          <w:rFonts w:cstheme="minorHAnsi"/>
          <w:color w:val="000000"/>
          <w:lang w:val="el-GR"/>
        </w:rPr>
        <w:t>Κ</w:t>
      </w:r>
      <w:r w:rsidRPr="003012B8">
        <w:rPr>
          <w:rFonts w:cstheme="minorHAnsi"/>
          <w:color w:val="000000"/>
          <w:lang w:val="el-GR"/>
        </w:rPr>
        <w:t xml:space="preserve">εντρικού </w:t>
      </w:r>
      <w:r w:rsidR="00553C78">
        <w:rPr>
          <w:rFonts w:cstheme="minorHAnsi"/>
          <w:color w:val="000000"/>
          <w:lang w:val="el-GR"/>
        </w:rPr>
        <w:t>Ν</w:t>
      </w:r>
      <w:r w:rsidRPr="003012B8">
        <w:rPr>
          <w:rFonts w:cstheme="minorHAnsi"/>
          <w:color w:val="000000"/>
          <w:lang w:val="el-GR"/>
        </w:rPr>
        <w:t xml:space="preserve">ευρικού </w:t>
      </w:r>
      <w:r w:rsidR="00553C78">
        <w:rPr>
          <w:rFonts w:cstheme="minorHAnsi"/>
          <w:color w:val="000000"/>
          <w:lang w:val="el-GR"/>
        </w:rPr>
        <w:t>Σ</w:t>
      </w:r>
      <w:r w:rsidRPr="003012B8">
        <w:rPr>
          <w:rFonts w:cstheme="minorHAnsi"/>
          <w:color w:val="000000"/>
          <w:lang w:val="el-GR"/>
        </w:rPr>
        <w:t>υστήματος (ΚΝΣ) που διαταράσσει τη φυσιολογική λειτουργία του εγκεφάλου, των οπτικών νεύρων και του νωτιαίου μυελού μέσω της φλεγμονής και της απώλειας ιστού.</w:t>
      </w:r>
      <w:r w:rsidRPr="003012B8">
        <w:rPr>
          <w:rFonts w:cstheme="minorHAnsi"/>
          <w:color w:val="000000"/>
          <w:vertAlign w:val="superscript"/>
          <w:lang w:val="el-GR"/>
        </w:rPr>
        <w:t>12</w:t>
      </w:r>
      <w:r w:rsidRPr="003012B8">
        <w:rPr>
          <w:rFonts w:cstheme="minorHAnsi"/>
          <w:color w:val="000000"/>
          <w:lang w:val="el-GR"/>
        </w:rPr>
        <w:t xml:space="preserve"> Η εξέλιξη της ΠΣ οδηγεί σε αυξανόμενη απώλεια τόσο της σωματικής (π.χ. βάδιση) όσο και της </w:t>
      </w:r>
      <w:r w:rsidR="00553C78">
        <w:rPr>
          <w:rFonts w:cstheme="minorHAnsi"/>
          <w:color w:val="000000"/>
          <w:lang w:val="el-GR"/>
        </w:rPr>
        <w:t>γνωσιακής</w:t>
      </w:r>
      <w:r w:rsidR="00FC3BF8">
        <w:rPr>
          <w:rFonts w:cstheme="minorHAnsi"/>
          <w:color w:val="000000"/>
          <w:lang w:val="el-GR"/>
        </w:rPr>
        <w:t xml:space="preserve"> </w:t>
      </w:r>
      <w:r w:rsidRPr="003012B8">
        <w:rPr>
          <w:rFonts w:cstheme="minorHAnsi"/>
          <w:color w:val="000000"/>
          <w:lang w:val="el-GR"/>
        </w:rPr>
        <w:t>λειτουργίας (π.χ. μνήμη).</w:t>
      </w:r>
      <w:r w:rsidRPr="003012B8">
        <w:rPr>
          <w:rFonts w:cstheme="minorHAnsi"/>
          <w:color w:val="000000"/>
          <w:vertAlign w:val="superscript"/>
          <w:lang w:val="el-GR"/>
        </w:rPr>
        <w:t>13</w:t>
      </w:r>
      <w:r w:rsidRPr="003012B8">
        <w:rPr>
          <w:rFonts w:cstheme="minorHAnsi"/>
          <w:color w:val="000000"/>
          <w:lang w:val="el-GR"/>
        </w:rPr>
        <w:t xml:space="preserve"> Υπάρχουν τρεις τύποι ΠΣ: </w:t>
      </w:r>
      <w:r w:rsidR="00553C78">
        <w:rPr>
          <w:rFonts w:cstheme="minorHAnsi"/>
          <w:color w:val="000000"/>
          <w:lang w:val="el-GR"/>
        </w:rPr>
        <w:t>Υ</w:t>
      </w:r>
      <w:r w:rsidRPr="003012B8">
        <w:rPr>
          <w:rFonts w:cstheme="minorHAnsi"/>
          <w:color w:val="000000"/>
          <w:lang w:val="el-GR"/>
        </w:rPr>
        <w:t xml:space="preserve">ποτροπιάζουσα </w:t>
      </w:r>
      <w:r w:rsidR="00553C78">
        <w:rPr>
          <w:rFonts w:cstheme="minorHAnsi"/>
          <w:color w:val="000000"/>
          <w:lang w:val="el-GR"/>
        </w:rPr>
        <w:t>Δ</w:t>
      </w:r>
      <w:r w:rsidRPr="003012B8">
        <w:rPr>
          <w:rFonts w:cstheme="minorHAnsi"/>
          <w:color w:val="000000"/>
          <w:lang w:val="el-GR"/>
        </w:rPr>
        <w:t>ιαλείπουσα ΠΣ (</w:t>
      </w:r>
      <w:r>
        <w:rPr>
          <w:rFonts w:cstheme="minorHAnsi"/>
          <w:color w:val="000000"/>
        </w:rPr>
        <w:t>RRMS</w:t>
      </w:r>
      <w:r w:rsidRPr="003012B8">
        <w:rPr>
          <w:rFonts w:cstheme="minorHAnsi"/>
          <w:color w:val="000000"/>
          <w:lang w:val="el-GR"/>
        </w:rPr>
        <w:t xml:space="preserve">), </w:t>
      </w:r>
      <w:proofErr w:type="spellStart"/>
      <w:r w:rsidR="00553C78">
        <w:rPr>
          <w:rFonts w:cstheme="minorHAnsi"/>
          <w:color w:val="000000"/>
          <w:lang w:val="el-GR"/>
        </w:rPr>
        <w:t>Δ</w:t>
      </w:r>
      <w:r w:rsidRPr="003012B8">
        <w:rPr>
          <w:rFonts w:cstheme="minorHAnsi"/>
          <w:color w:val="000000"/>
          <w:lang w:val="el-GR"/>
        </w:rPr>
        <w:t>ευτεροπαθώς</w:t>
      </w:r>
      <w:proofErr w:type="spellEnd"/>
      <w:r w:rsidRPr="003012B8">
        <w:rPr>
          <w:rFonts w:cstheme="minorHAnsi"/>
          <w:color w:val="000000"/>
          <w:lang w:val="el-GR"/>
        </w:rPr>
        <w:t xml:space="preserve"> </w:t>
      </w:r>
      <w:r w:rsidR="00553C78">
        <w:rPr>
          <w:rFonts w:cstheme="minorHAnsi"/>
          <w:color w:val="000000"/>
          <w:lang w:val="el-GR"/>
        </w:rPr>
        <w:t>Π</w:t>
      </w:r>
      <w:r w:rsidRPr="003012B8">
        <w:rPr>
          <w:rFonts w:cstheme="minorHAnsi"/>
          <w:color w:val="000000"/>
          <w:lang w:val="el-GR"/>
        </w:rPr>
        <w:t>ροϊούσα ΠΣ (</w:t>
      </w:r>
      <w:r>
        <w:rPr>
          <w:rFonts w:cstheme="minorHAnsi"/>
          <w:color w:val="000000"/>
        </w:rPr>
        <w:t>SPMS</w:t>
      </w:r>
      <w:r w:rsidRPr="003012B8">
        <w:rPr>
          <w:rFonts w:cstheme="minorHAnsi"/>
          <w:color w:val="000000"/>
          <w:lang w:val="el-GR"/>
        </w:rPr>
        <w:t xml:space="preserve">) και </w:t>
      </w:r>
      <w:proofErr w:type="spellStart"/>
      <w:r w:rsidR="00553C78">
        <w:rPr>
          <w:rFonts w:cstheme="minorHAnsi"/>
          <w:color w:val="000000"/>
          <w:lang w:val="el-GR"/>
        </w:rPr>
        <w:t>Π</w:t>
      </w:r>
      <w:r w:rsidRPr="003012B8">
        <w:rPr>
          <w:rFonts w:cstheme="minorHAnsi"/>
          <w:color w:val="000000"/>
          <w:lang w:val="el-GR"/>
        </w:rPr>
        <w:t>ρωτοπαθώς</w:t>
      </w:r>
      <w:proofErr w:type="spellEnd"/>
      <w:r w:rsidRPr="003012B8">
        <w:rPr>
          <w:rFonts w:cstheme="minorHAnsi"/>
          <w:color w:val="000000"/>
          <w:lang w:val="el-GR"/>
        </w:rPr>
        <w:t xml:space="preserve"> </w:t>
      </w:r>
      <w:r w:rsidR="00553C78">
        <w:rPr>
          <w:rFonts w:cstheme="minorHAnsi"/>
          <w:color w:val="000000"/>
          <w:lang w:val="el-GR"/>
        </w:rPr>
        <w:t>Π</w:t>
      </w:r>
      <w:r w:rsidRPr="003012B8">
        <w:rPr>
          <w:rFonts w:cstheme="minorHAnsi"/>
          <w:color w:val="000000"/>
          <w:lang w:val="el-GR"/>
        </w:rPr>
        <w:t>ροϊούσα ΠΣ (</w:t>
      </w:r>
      <w:r>
        <w:rPr>
          <w:rFonts w:cstheme="minorHAnsi"/>
          <w:color w:val="000000"/>
        </w:rPr>
        <w:t>PPMS</w:t>
      </w:r>
      <w:r w:rsidRPr="003012B8">
        <w:rPr>
          <w:rFonts w:cstheme="minorHAnsi"/>
          <w:color w:val="000000"/>
          <w:lang w:val="el-GR"/>
        </w:rPr>
        <w:t>).</w:t>
      </w:r>
      <w:r w:rsidRPr="003012B8">
        <w:rPr>
          <w:rFonts w:cstheme="minorHAnsi"/>
          <w:color w:val="000000"/>
          <w:vertAlign w:val="superscript"/>
          <w:lang w:val="el-GR"/>
        </w:rPr>
        <w:t>14</w:t>
      </w:r>
      <w:r w:rsidRPr="003012B8">
        <w:rPr>
          <w:rFonts w:cstheme="minorHAnsi"/>
          <w:color w:val="000000"/>
          <w:lang w:val="el-GR"/>
        </w:rPr>
        <w:t xml:space="preserve"> </w:t>
      </w:r>
    </w:p>
    <w:p w:rsidR="00602A07" w:rsidRPr="003012B8" w:rsidRDefault="00602A07" w:rsidP="00FC3BF8">
      <w:pPr>
        <w:autoSpaceDE w:val="0"/>
        <w:autoSpaceDN w:val="0"/>
        <w:adjustRightInd w:val="0"/>
        <w:jc w:val="both"/>
        <w:rPr>
          <w:rFonts w:cstheme="minorHAnsi"/>
          <w:bCs/>
          <w:color w:val="000000"/>
          <w:vertAlign w:val="superscript"/>
          <w:lang w:val="el-GR"/>
        </w:rPr>
      </w:pPr>
    </w:p>
    <w:p w:rsidR="00602A07" w:rsidRPr="003012B8" w:rsidRDefault="00602A07" w:rsidP="00FC3BF8">
      <w:pPr>
        <w:autoSpaceDE w:val="0"/>
        <w:autoSpaceDN w:val="0"/>
        <w:adjustRightInd w:val="0"/>
        <w:jc w:val="both"/>
        <w:rPr>
          <w:rFonts w:cstheme="minorHAnsi"/>
          <w:bCs/>
          <w:color w:val="000000"/>
          <w:vertAlign w:val="superscript"/>
          <w:lang w:val="el-GR"/>
        </w:rPr>
      </w:pPr>
      <w:r w:rsidRPr="003012B8">
        <w:rPr>
          <w:rFonts w:cstheme="minorHAnsi"/>
          <w:color w:val="000000"/>
          <w:lang w:val="el-GR"/>
        </w:rPr>
        <w:t xml:space="preserve">Η </w:t>
      </w:r>
      <w:r>
        <w:rPr>
          <w:rFonts w:cstheme="minorHAnsi"/>
          <w:color w:val="000000"/>
        </w:rPr>
        <w:t>SPMS</w:t>
      </w:r>
      <w:r w:rsidRPr="003012B8">
        <w:rPr>
          <w:rFonts w:cstheme="minorHAnsi"/>
          <w:color w:val="000000"/>
          <w:lang w:val="el-GR"/>
        </w:rPr>
        <w:t xml:space="preserve"> χαρακτηρίζεται από βαθμιαία επιδείνωση της νευρολογικής λειτουργίας με την πάροδο του χρόνου.</w:t>
      </w:r>
      <w:r w:rsidRPr="003012B8">
        <w:rPr>
          <w:rFonts w:cstheme="minorHAnsi"/>
          <w:color w:val="000000"/>
          <w:vertAlign w:val="superscript"/>
          <w:lang w:val="el-GR"/>
        </w:rPr>
        <w:t xml:space="preserve">2 </w:t>
      </w:r>
      <w:r w:rsidRPr="003012B8">
        <w:rPr>
          <w:rFonts w:cstheme="minorHAnsi"/>
          <w:color w:val="000000"/>
          <w:lang w:val="el-GR"/>
        </w:rPr>
        <w:t>Αυτό οδηγεί σε προοδευτική συσσώρευση αναπηρίας, ανεξάρτητα από τις υποτροπές, κάτι που μπορεί να επηρεάσει σοβαρά την ικανότητα των ασθενών να πραγματοποιούν τις καθημερινές τους δραστηριότητες.</w:t>
      </w:r>
      <w:r w:rsidRPr="003012B8">
        <w:rPr>
          <w:rFonts w:cstheme="minorHAnsi"/>
          <w:color w:val="000000"/>
          <w:vertAlign w:val="superscript"/>
          <w:lang w:val="el-GR"/>
        </w:rPr>
        <w:t>2</w:t>
      </w:r>
      <w:r w:rsidRPr="003012B8">
        <w:rPr>
          <w:rFonts w:cstheme="minorHAnsi"/>
          <w:color w:val="000000"/>
          <w:lang w:val="el-GR"/>
        </w:rPr>
        <w:t xml:space="preserve"> Συνήθως ακολουθεί μια αρχική φάση </w:t>
      </w:r>
      <w:r>
        <w:rPr>
          <w:rFonts w:cstheme="minorHAnsi"/>
          <w:color w:val="000000"/>
        </w:rPr>
        <w:t>RRMS</w:t>
      </w:r>
      <w:r w:rsidRPr="003012B8">
        <w:rPr>
          <w:rFonts w:cstheme="minorHAnsi"/>
          <w:color w:val="000000"/>
          <w:lang w:val="el-GR"/>
        </w:rPr>
        <w:t xml:space="preserve">, η οποία αποτελεί περίπου το 85% όλων των διαγνώσεων ΠΣ· το ένα τέταρτο των ανθρώπων με </w:t>
      </w:r>
      <w:r>
        <w:rPr>
          <w:rFonts w:cstheme="minorHAnsi"/>
          <w:color w:val="000000"/>
        </w:rPr>
        <w:t>RRMS</w:t>
      </w:r>
      <w:r w:rsidRPr="003012B8">
        <w:rPr>
          <w:rFonts w:cstheme="minorHAnsi"/>
          <w:color w:val="000000"/>
          <w:lang w:val="el-GR"/>
        </w:rPr>
        <w:t xml:space="preserve"> θα αναπτύξουν κάποια στιγμή </w:t>
      </w:r>
      <w:r>
        <w:rPr>
          <w:rFonts w:cstheme="minorHAnsi"/>
          <w:color w:val="000000"/>
        </w:rPr>
        <w:t>SPMS</w:t>
      </w:r>
      <w:r w:rsidRPr="003012B8">
        <w:rPr>
          <w:rFonts w:cstheme="minorHAnsi"/>
          <w:color w:val="000000"/>
          <w:lang w:val="el-GR"/>
        </w:rPr>
        <w:t xml:space="preserve"> εντός 10 ετών από την αρχική διάγνωση της </w:t>
      </w:r>
      <w:r>
        <w:rPr>
          <w:rFonts w:cstheme="minorHAnsi"/>
          <w:color w:val="000000"/>
        </w:rPr>
        <w:t>RRMS</w:t>
      </w:r>
      <w:r w:rsidRPr="003012B8">
        <w:rPr>
          <w:rFonts w:cstheme="minorHAnsi"/>
          <w:color w:val="000000"/>
          <w:lang w:val="el-GR"/>
        </w:rPr>
        <w:t>,  ανεβάζοντας το ποσοστό σε πάνω από τρία τέταρτα έπειτα από 30 έτη.</w:t>
      </w:r>
      <w:r w:rsidRPr="003012B8">
        <w:rPr>
          <w:rFonts w:cstheme="minorHAnsi"/>
          <w:color w:val="000000"/>
          <w:vertAlign w:val="superscript"/>
          <w:lang w:val="el-GR"/>
        </w:rPr>
        <w:t>15,16</w:t>
      </w:r>
      <w:r w:rsidRPr="003012B8">
        <w:rPr>
          <w:rFonts w:cstheme="minorHAnsi"/>
          <w:color w:val="000000"/>
          <w:lang w:val="el-GR"/>
        </w:rPr>
        <w:t xml:space="preserve"> Παραμένει μια υψηλή ανεκπλήρωτη ανάγκη για αποτελεσματικές και ασφαλείς θεραπείες που θα βοηθήσουν στην καθυστέρηση της εξέλιξης της αναπηρίας στην </w:t>
      </w:r>
      <w:r>
        <w:rPr>
          <w:rFonts w:cstheme="minorHAnsi"/>
          <w:color w:val="000000"/>
        </w:rPr>
        <w:t>SPMS</w:t>
      </w:r>
      <w:r w:rsidRPr="003012B8">
        <w:rPr>
          <w:rFonts w:cstheme="minorHAnsi"/>
          <w:color w:val="000000"/>
          <w:lang w:val="el-GR"/>
        </w:rPr>
        <w:t>.</w:t>
      </w:r>
      <w:r w:rsidRPr="003012B8">
        <w:rPr>
          <w:rFonts w:cstheme="minorHAnsi"/>
          <w:color w:val="000000"/>
          <w:vertAlign w:val="superscript"/>
          <w:lang w:val="el-GR"/>
        </w:rPr>
        <w:t>17</w:t>
      </w:r>
      <w:r w:rsidRPr="003012B8">
        <w:rPr>
          <w:rFonts w:cstheme="minorHAnsi"/>
          <w:color w:val="000000"/>
          <w:lang w:val="el-GR"/>
        </w:rPr>
        <w:t xml:space="preserve"> </w:t>
      </w:r>
    </w:p>
    <w:p w:rsidR="00602A07" w:rsidRPr="003012B8" w:rsidRDefault="00602A07" w:rsidP="00FC3BF8">
      <w:pPr>
        <w:autoSpaceDE w:val="0"/>
        <w:autoSpaceDN w:val="0"/>
        <w:adjustRightInd w:val="0"/>
        <w:jc w:val="both"/>
        <w:rPr>
          <w:rFonts w:cstheme="minorHAnsi"/>
          <w:bCs/>
          <w:color w:val="000000"/>
          <w:lang w:val="el-GR"/>
        </w:rPr>
      </w:pPr>
    </w:p>
    <w:p w:rsidR="00602A07" w:rsidRPr="003012B8" w:rsidRDefault="008F1699" w:rsidP="00FC3BF8">
      <w:pPr>
        <w:autoSpaceDE w:val="0"/>
        <w:autoSpaceDN w:val="0"/>
        <w:adjustRightInd w:val="0"/>
        <w:jc w:val="both"/>
        <w:rPr>
          <w:rFonts w:cstheme="minorHAnsi"/>
          <w:bCs/>
          <w:color w:val="000000"/>
          <w:vertAlign w:val="superscript"/>
          <w:lang w:val="el-GR"/>
        </w:rPr>
      </w:pPr>
      <w:r w:rsidRPr="003012B8">
        <w:rPr>
          <w:rFonts w:cstheme="minorHAnsi"/>
          <w:color w:val="000000"/>
          <w:lang w:val="el-GR"/>
        </w:rPr>
        <w:t>Η ΠΣ προσβάλλει περίπου 2,3 εκατομμύρια ανθρώπους παγκοσμίως.</w:t>
      </w:r>
      <w:r w:rsidRPr="003012B8">
        <w:rPr>
          <w:rFonts w:cstheme="minorHAnsi"/>
          <w:color w:val="000000"/>
          <w:vertAlign w:val="superscript"/>
          <w:lang w:val="el-GR"/>
        </w:rPr>
        <w:t>15</w:t>
      </w:r>
    </w:p>
    <w:p w:rsidR="00A83923" w:rsidRPr="003012B8" w:rsidRDefault="00A83923" w:rsidP="00FC3BF8">
      <w:pPr>
        <w:autoSpaceDE w:val="0"/>
        <w:autoSpaceDN w:val="0"/>
        <w:adjustRightInd w:val="0"/>
        <w:jc w:val="both"/>
        <w:rPr>
          <w:rFonts w:cstheme="minorHAnsi"/>
          <w:b/>
          <w:bCs/>
          <w:color w:val="000000"/>
          <w:lang w:val="el-GR"/>
        </w:rPr>
      </w:pPr>
    </w:p>
    <w:p w:rsidR="00500737" w:rsidRPr="003012B8" w:rsidRDefault="00500737" w:rsidP="00FC3BF8">
      <w:pPr>
        <w:autoSpaceDE w:val="0"/>
        <w:autoSpaceDN w:val="0"/>
        <w:adjustRightInd w:val="0"/>
        <w:jc w:val="both"/>
        <w:rPr>
          <w:rFonts w:cstheme="minorHAnsi"/>
          <w:b/>
          <w:bCs/>
          <w:color w:val="000000"/>
          <w:lang w:val="el-GR"/>
        </w:rPr>
      </w:pPr>
      <w:r w:rsidRPr="003012B8">
        <w:rPr>
          <w:rFonts w:cstheme="minorHAnsi"/>
          <w:b/>
          <w:color w:val="000000"/>
          <w:lang w:val="el-GR"/>
        </w:rPr>
        <w:t xml:space="preserve">Σχετικά με τη </w:t>
      </w:r>
      <w:r>
        <w:rPr>
          <w:rFonts w:cstheme="minorHAnsi"/>
          <w:b/>
          <w:color w:val="000000"/>
        </w:rPr>
        <w:t>Novartis</w:t>
      </w:r>
      <w:r w:rsidR="009B2B8C">
        <w:rPr>
          <w:rFonts w:cstheme="minorHAnsi"/>
          <w:b/>
          <w:color w:val="000000"/>
          <w:lang w:val="el-GR"/>
        </w:rPr>
        <w:t xml:space="preserve"> στην Πολλαπλή Σ</w:t>
      </w:r>
      <w:r w:rsidRPr="003012B8">
        <w:rPr>
          <w:rFonts w:cstheme="minorHAnsi"/>
          <w:b/>
          <w:color w:val="000000"/>
          <w:lang w:val="el-GR"/>
        </w:rPr>
        <w:t>κλήρυνση</w:t>
      </w:r>
    </w:p>
    <w:p w:rsidR="00500737" w:rsidRPr="003012B8" w:rsidRDefault="00500737" w:rsidP="00FC3BF8">
      <w:pPr>
        <w:autoSpaceDE w:val="0"/>
        <w:autoSpaceDN w:val="0"/>
        <w:adjustRightInd w:val="0"/>
        <w:jc w:val="both"/>
        <w:rPr>
          <w:rFonts w:cstheme="minorHAnsi"/>
          <w:bCs/>
          <w:color w:val="000000"/>
          <w:lang w:val="el-GR"/>
        </w:rPr>
      </w:pPr>
      <w:r w:rsidRPr="003012B8">
        <w:rPr>
          <w:rFonts w:cstheme="minorHAnsi"/>
          <w:color w:val="000000"/>
          <w:lang w:val="el-GR"/>
        </w:rPr>
        <w:t xml:space="preserve">Το χαρτοφυλάκιο της </w:t>
      </w:r>
      <w:r>
        <w:rPr>
          <w:rFonts w:cstheme="minorHAnsi"/>
          <w:color w:val="000000"/>
        </w:rPr>
        <w:t>Novartis</w:t>
      </w:r>
      <w:r w:rsidRPr="003012B8">
        <w:rPr>
          <w:rFonts w:cstheme="minorHAnsi"/>
          <w:color w:val="000000"/>
          <w:lang w:val="el-GR"/>
        </w:rPr>
        <w:t xml:space="preserve"> για την ΠΣ περιλαμβάνει </w:t>
      </w:r>
      <w:r w:rsidR="00FC3BF8">
        <w:rPr>
          <w:rFonts w:cstheme="minorHAnsi"/>
          <w:color w:val="000000"/>
          <w:lang w:val="el-GR"/>
        </w:rPr>
        <w:t xml:space="preserve">την </w:t>
      </w:r>
      <w:proofErr w:type="spellStart"/>
      <w:r w:rsidRPr="003012B8">
        <w:rPr>
          <w:rFonts w:cstheme="minorHAnsi"/>
          <w:color w:val="000000"/>
          <w:lang w:val="el-GR"/>
        </w:rPr>
        <w:t>φινγκολιμόδη</w:t>
      </w:r>
      <w:proofErr w:type="spellEnd"/>
      <w:r w:rsidRPr="003012B8">
        <w:rPr>
          <w:rFonts w:cstheme="minorHAnsi"/>
          <w:color w:val="000000"/>
          <w:lang w:val="el-GR"/>
        </w:rPr>
        <w:t xml:space="preserve">, </w:t>
      </w:r>
      <w:r w:rsidR="009B2B8C">
        <w:rPr>
          <w:rFonts w:cstheme="minorHAnsi"/>
          <w:color w:val="000000"/>
          <w:lang w:val="el-GR"/>
        </w:rPr>
        <w:t xml:space="preserve">που είναι επίσης </w:t>
      </w:r>
      <w:proofErr w:type="spellStart"/>
      <w:r w:rsidRPr="003012B8">
        <w:rPr>
          <w:rFonts w:cstheme="minorHAnsi"/>
          <w:color w:val="000000"/>
          <w:lang w:val="el-GR"/>
        </w:rPr>
        <w:t>τροποποιητής</w:t>
      </w:r>
      <w:proofErr w:type="spellEnd"/>
      <w:r w:rsidRPr="003012B8">
        <w:rPr>
          <w:rFonts w:cstheme="minorHAnsi"/>
          <w:color w:val="000000"/>
          <w:lang w:val="el-GR"/>
        </w:rPr>
        <w:t xml:space="preserve"> </w:t>
      </w:r>
      <w:r w:rsidR="009B2B8C">
        <w:rPr>
          <w:rFonts w:cstheme="minorHAnsi"/>
          <w:color w:val="000000"/>
          <w:lang w:val="el-GR"/>
        </w:rPr>
        <w:t>των</w:t>
      </w:r>
      <w:r w:rsidRPr="003012B8">
        <w:rPr>
          <w:rFonts w:cstheme="minorHAnsi"/>
          <w:color w:val="000000"/>
          <w:lang w:val="el-GR"/>
        </w:rPr>
        <w:t xml:space="preserve"> </w:t>
      </w:r>
      <w:r>
        <w:rPr>
          <w:rFonts w:cstheme="minorHAnsi"/>
          <w:color w:val="000000"/>
        </w:rPr>
        <w:t>S</w:t>
      </w:r>
      <w:r w:rsidRPr="003012B8">
        <w:rPr>
          <w:rFonts w:cstheme="minorHAnsi"/>
          <w:color w:val="000000"/>
          <w:lang w:val="el-GR"/>
        </w:rPr>
        <w:t>1</w:t>
      </w:r>
      <w:r>
        <w:rPr>
          <w:rFonts w:cstheme="minorHAnsi"/>
          <w:color w:val="000000"/>
        </w:rPr>
        <w:t>P</w:t>
      </w:r>
      <w:r w:rsidR="009B2B8C">
        <w:rPr>
          <w:rFonts w:cstheme="minorHAnsi"/>
          <w:color w:val="000000"/>
          <w:lang w:val="el-GR"/>
        </w:rPr>
        <w:t xml:space="preserve"> υποδοχέων και </w:t>
      </w:r>
      <w:r w:rsidRPr="003012B8">
        <w:rPr>
          <w:rFonts w:cstheme="minorHAnsi"/>
          <w:color w:val="000000"/>
          <w:lang w:val="el-GR"/>
        </w:rPr>
        <w:t>το οποίο ενδείκνυται για τις υποτροπιάζουσες μορφές της ΠΣ</w:t>
      </w:r>
      <w:r w:rsidR="009B2B8C">
        <w:rPr>
          <w:rFonts w:cstheme="minorHAnsi"/>
          <w:color w:val="000000"/>
          <w:lang w:val="el-GR"/>
        </w:rPr>
        <w:t xml:space="preserve">. </w:t>
      </w:r>
      <w:r w:rsidR="00FC3BF8">
        <w:rPr>
          <w:rFonts w:cstheme="minorHAnsi"/>
          <w:color w:val="000000"/>
          <w:lang w:val="el-GR"/>
        </w:rPr>
        <w:t xml:space="preserve">Η </w:t>
      </w:r>
      <w:proofErr w:type="spellStart"/>
      <w:r w:rsidR="00FC3BF8">
        <w:rPr>
          <w:rFonts w:cstheme="minorHAnsi"/>
          <w:color w:val="000000"/>
          <w:lang w:val="el-GR"/>
        </w:rPr>
        <w:t>φινγκολιμόδη</w:t>
      </w:r>
      <w:proofErr w:type="spellEnd"/>
      <w:r w:rsidR="00FC3BF8">
        <w:rPr>
          <w:rFonts w:cstheme="minorHAnsi"/>
          <w:color w:val="000000"/>
          <w:lang w:val="el-GR"/>
        </w:rPr>
        <w:t xml:space="preserve"> </w:t>
      </w:r>
      <w:r w:rsidRPr="003012B8">
        <w:rPr>
          <w:rFonts w:cstheme="minorHAnsi"/>
          <w:color w:val="000000"/>
          <w:lang w:val="el-GR"/>
        </w:rPr>
        <w:t>βρίσκεται επίσης σε φάση ανάπτ</w:t>
      </w:r>
      <w:r w:rsidR="00FC3BF8">
        <w:rPr>
          <w:rFonts w:cstheme="minorHAnsi"/>
          <w:color w:val="000000"/>
          <w:lang w:val="el-GR"/>
        </w:rPr>
        <w:t xml:space="preserve">υξης για την παιδιατρική ΠΣ. Η </w:t>
      </w:r>
      <w:proofErr w:type="spellStart"/>
      <w:r w:rsidRPr="003012B8">
        <w:rPr>
          <w:rFonts w:cstheme="minorHAnsi"/>
          <w:color w:val="000000"/>
          <w:lang w:val="el-GR"/>
        </w:rPr>
        <w:t>ιντερφερόνη</w:t>
      </w:r>
      <w:proofErr w:type="spellEnd"/>
      <w:r w:rsidRPr="003012B8">
        <w:rPr>
          <w:rFonts w:cstheme="minorHAnsi"/>
          <w:color w:val="000000"/>
          <w:lang w:val="el-GR"/>
        </w:rPr>
        <w:t xml:space="preserve"> βήτα-1</w:t>
      </w:r>
      <w:r>
        <w:rPr>
          <w:rFonts w:cstheme="minorHAnsi"/>
          <w:color w:val="000000"/>
        </w:rPr>
        <w:t>b</w:t>
      </w:r>
      <w:r w:rsidRPr="003012B8">
        <w:rPr>
          <w:rFonts w:cstheme="minorHAnsi"/>
          <w:color w:val="000000"/>
          <w:lang w:val="el-GR"/>
        </w:rPr>
        <w:t xml:space="preserve"> για υποδόρια ένεση</w:t>
      </w:r>
      <w:r w:rsidR="00FC3BF8">
        <w:rPr>
          <w:rFonts w:cstheme="minorHAnsi"/>
          <w:color w:val="000000"/>
          <w:lang w:val="el-GR"/>
        </w:rPr>
        <w:t xml:space="preserve"> είναι εγκεκριμένη</w:t>
      </w:r>
      <w:r w:rsidRPr="003012B8">
        <w:rPr>
          <w:rFonts w:cstheme="minorHAnsi"/>
          <w:color w:val="000000"/>
          <w:lang w:val="el-GR"/>
        </w:rPr>
        <w:t xml:space="preserve"> στις ΗΠΑ για τη θεραπεία των υποτροπιαζουσών μορφών της ΠΣ. Στην Ευρώπη, </w:t>
      </w:r>
      <w:r w:rsidR="00FC3BF8">
        <w:rPr>
          <w:rFonts w:cstheme="minorHAnsi"/>
          <w:color w:val="000000"/>
          <w:lang w:val="el-GR"/>
        </w:rPr>
        <w:t>η</w:t>
      </w:r>
      <w:r w:rsidR="00FC3BF8" w:rsidRPr="00FC3BF8">
        <w:rPr>
          <w:rFonts w:cstheme="minorHAnsi"/>
          <w:color w:val="000000"/>
          <w:lang w:val="el-GR"/>
        </w:rPr>
        <w:t xml:space="preserve"> </w:t>
      </w:r>
      <w:proofErr w:type="spellStart"/>
      <w:r w:rsidR="00FC3BF8" w:rsidRPr="00FC3BF8">
        <w:rPr>
          <w:rFonts w:cstheme="minorHAnsi"/>
          <w:color w:val="000000"/>
          <w:lang w:val="el-GR"/>
        </w:rPr>
        <w:t>ιντερφε</w:t>
      </w:r>
      <w:r w:rsidR="00FC3BF8">
        <w:rPr>
          <w:rFonts w:cstheme="minorHAnsi"/>
          <w:color w:val="000000"/>
          <w:lang w:val="el-GR"/>
        </w:rPr>
        <w:t>ρόνη</w:t>
      </w:r>
      <w:proofErr w:type="spellEnd"/>
      <w:r w:rsidR="00FC3BF8">
        <w:rPr>
          <w:rFonts w:cstheme="minorHAnsi"/>
          <w:color w:val="000000"/>
          <w:lang w:val="el-GR"/>
        </w:rPr>
        <w:t xml:space="preserve"> βήτα-1b για υποδόρια ένεση </w:t>
      </w:r>
      <w:r w:rsidRPr="003012B8">
        <w:rPr>
          <w:rFonts w:cstheme="minorHAnsi"/>
          <w:color w:val="000000"/>
          <w:lang w:val="el-GR"/>
        </w:rPr>
        <w:t xml:space="preserve">είναι εγκεκριμένο για τη θεραπεία ανθρώπων με </w:t>
      </w:r>
      <w:r w:rsidR="00154AE2">
        <w:rPr>
          <w:rFonts w:cstheme="minorHAnsi"/>
          <w:color w:val="000000"/>
          <w:lang w:val="el-GR"/>
        </w:rPr>
        <w:t>Υ</w:t>
      </w:r>
      <w:r w:rsidRPr="003012B8">
        <w:rPr>
          <w:rFonts w:cstheme="minorHAnsi"/>
          <w:color w:val="000000"/>
          <w:lang w:val="el-GR"/>
        </w:rPr>
        <w:t xml:space="preserve">ποτροπιάζουσα </w:t>
      </w:r>
      <w:r w:rsidR="00154AE2">
        <w:rPr>
          <w:rFonts w:cstheme="minorHAnsi"/>
          <w:color w:val="000000"/>
          <w:lang w:val="el-GR"/>
        </w:rPr>
        <w:t>Δ</w:t>
      </w:r>
      <w:r w:rsidRPr="003012B8">
        <w:rPr>
          <w:rFonts w:cstheme="minorHAnsi"/>
          <w:color w:val="000000"/>
          <w:lang w:val="el-GR"/>
        </w:rPr>
        <w:t xml:space="preserve">ιαλείπουσα ΠΣ ή </w:t>
      </w:r>
      <w:proofErr w:type="spellStart"/>
      <w:r w:rsidR="00154AE2">
        <w:rPr>
          <w:rFonts w:cstheme="minorHAnsi"/>
          <w:color w:val="000000"/>
          <w:lang w:val="el-GR"/>
        </w:rPr>
        <w:t>Δ</w:t>
      </w:r>
      <w:r w:rsidRPr="003012B8">
        <w:rPr>
          <w:rFonts w:cstheme="minorHAnsi"/>
          <w:color w:val="000000"/>
          <w:lang w:val="el-GR"/>
        </w:rPr>
        <w:t>ευτεροπαθώς</w:t>
      </w:r>
      <w:proofErr w:type="spellEnd"/>
      <w:r w:rsidRPr="003012B8">
        <w:rPr>
          <w:rFonts w:cstheme="minorHAnsi"/>
          <w:color w:val="000000"/>
          <w:lang w:val="el-GR"/>
        </w:rPr>
        <w:t xml:space="preserve"> </w:t>
      </w:r>
      <w:r w:rsidR="00154AE2">
        <w:rPr>
          <w:rFonts w:cstheme="minorHAnsi"/>
          <w:color w:val="000000"/>
          <w:lang w:val="el-GR"/>
        </w:rPr>
        <w:t>Π</w:t>
      </w:r>
      <w:r w:rsidRPr="003012B8">
        <w:rPr>
          <w:rFonts w:cstheme="minorHAnsi"/>
          <w:color w:val="000000"/>
          <w:lang w:val="el-GR"/>
        </w:rPr>
        <w:t>ροϊούσα ΠΣ (</w:t>
      </w:r>
      <w:r>
        <w:rPr>
          <w:rFonts w:cstheme="minorHAnsi"/>
          <w:color w:val="000000"/>
        </w:rPr>
        <w:t>SPMS</w:t>
      </w:r>
      <w:r w:rsidRPr="003012B8">
        <w:rPr>
          <w:rFonts w:cstheme="minorHAnsi"/>
          <w:color w:val="000000"/>
          <w:lang w:val="el-GR"/>
        </w:rPr>
        <w:t>) με ενεργή νόσο, καθώς και για άτομα που έχουν παρουσιάσει έστω ένα κλινικό συμβάν που να είναι ενδεικτικό της ΠΣ.</w:t>
      </w:r>
    </w:p>
    <w:p w:rsidR="007F7528" w:rsidRPr="003012B8" w:rsidRDefault="007F7528" w:rsidP="00FC3BF8">
      <w:pPr>
        <w:autoSpaceDE w:val="0"/>
        <w:autoSpaceDN w:val="0"/>
        <w:adjustRightInd w:val="0"/>
        <w:jc w:val="both"/>
        <w:rPr>
          <w:rFonts w:cstheme="minorHAnsi"/>
          <w:bCs/>
          <w:color w:val="000000"/>
          <w:lang w:val="el-GR"/>
        </w:rPr>
      </w:pPr>
    </w:p>
    <w:p w:rsidR="007F7528" w:rsidRPr="003012B8" w:rsidRDefault="001A14F8" w:rsidP="00FC3BF8">
      <w:pPr>
        <w:autoSpaceDE w:val="0"/>
        <w:autoSpaceDN w:val="0"/>
        <w:adjustRightInd w:val="0"/>
        <w:jc w:val="both"/>
        <w:rPr>
          <w:rFonts w:cstheme="minorHAnsi"/>
          <w:bCs/>
          <w:color w:val="000000"/>
          <w:lang w:val="el-GR"/>
        </w:rPr>
      </w:pPr>
      <w:r w:rsidRPr="003012B8">
        <w:rPr>
          <w:rFonts w:cstheme="minorHAnsi"/>
          <w:color w:val="000000"/>
          <w:lang w:val="el-GR"/>
        </w:rPr>
        <w:t xml:space="preserve">Εκτός από το </w:t>
      </w:r>
      <w:r>
        <w:rPr>
          <w:rFonts w:cstheme="minorHAnsi"/>
          <w:color w:val="000000"/>
        </w:rPr>
        <w:t>BAF</w:t>
      </w:r>
      <w:r w:rsidRPr="003012B8">
        <w:rPr>
          <w:rFonts w:cstheme="minorHAnsi"/>
          <w:color w:val="000000"/>
          <w:lang w:val="el-GR"/>
        </w:rPr>
        <w:t>312 (</w:t>
      </w:r>
      <w:proofErr w:type="spellStart"/>
      <w:r w:rsidRPr="003012B8">
        <w:rPr>
          <w:rFonts w:cstheme="minorHAnsi"/>
          <w:color w:val="000000"/>
          <w:lang w:val="el-GR"/>
        </w:rPr>
        <w:t>σιπονιμόδη</w:t>
      </w:r>
      <w:proofErr w:type="spellEnd"/>
      <w:r w:rsidRPr="003012B8">
        <w:rPr>
          <w:rFonts w:cstheme="minorHAnsi"/>
          <w:color w:val="000000"/>
          <w:lang w:val="el-GR"/>
        </w:rPr>
        <w:t xml:space="preserve">) που βρίσκεται σε φάση ανάπτυξης για την </w:t>
      </w:r>
      <w:r>
        <w:rPr>
          <w:rFonts w:cstheme="minorHAnsi"/>
          <w:color w:val="000000"/>
        </w:rPr>
        <w:t>SPMS</w:t>
      </w:r>
      <w:r w:rsidRPr="003012B8">
        <w:rPr>
          <w:rFonts w:cstheme="minorHAnsi"/>
          <w:color w:val="000000"/>
          <w:lang w:val="el-GR"/>
        </w:rPr>
        <w:t xml:space="preserve">, </w:t>
      </w:r>
      <w:r w:rsidR="000F7D27">
        <w:rPr>
          <w:rFonts w:cstheme="minorHAnsi"/>
          <w:color w:val="000000"/>
          <w:lang w:val="el-GR"/>
        </w:rPr>
        <w:t>στα υπό διερεύνηση μόρια</w:t>
      </w:r>
      <w:r w:rsidR="009B2B8C">
        <w:rPr>
          <w:rFonts w:cstheme="minorHAnsi"/>
          <w:color w:val="000000"/>
          <w:lang w:val="el-GR"/>
        </w:rPr>
        <w:t xml:space="preserve"> </w:t>
      </w:r>
      <w:r w:rsidRPr="003012B8">
        <w:rPr>
          <w:rFonts w:cstheme="minorHAnsi"/>
          <w:color w:val="000000"/>
          <w:lang w:val="el-GR"/>
        </w:rPr>
        <w:t xml:space="preserve">περιλαμβάνεται η </w:t>
      </w:r>
      <w:proofErr w:type="spellStart"/>
      <w:r w:rsidRPr="003012B8">
        <w:rPr>
          <w:rFonts w:cstheme="minorHAnsi"/>
          <w:color w:val="000000"/>
          <w:lang w:val="el-GR"/>
        </w:rPr>
        <w:t>οφατουμουμάμπη</w:t>
      </w:r>
      <w:proofErr w:type="spellEnd"/>
      <w:r w:rsidRPr="003012B8">
        <w:rPr>
          <w:rFonts w:cstheme="minorHAnsi"/>
          <w:color w:val="000000"/>
          <w:lang w:val="el-GR"/>
        </w:rPr>
        <w:t xml:space="preserve"> (</w:t>
      </w:r>
      <w:r>
        <w:rPr>
          <w:rFonts w:cstheme="minorHAnsi"/>
          <w:color w:val="000000"/>
        </w:rPr>
        <w:t>OMB</w:t>
      </w:r>
      <w:r w:rsidRPr="003012B8">
        <w:rPr>
          <w:rFonts w:cstheme="minorHAnsi"/>
          <w:color w:val="000000"/>
          <w:lang w:val="el-GR"/>
        </w:rPr>
        <w:t xml:space="preserve">157), ένα πλήρως </w:t>
      </w:r>
      <w:r w:rsidR="000F7D27">
        <w:rPr>
          <w:rFonts w:cstheme="minorHAnsi"/>
          <w:color w:val="000000"/>
          <w:lang w:val="el-GR"/>
        </w:rPr>
        <w:t>ανθρωποποιημένο</w:t>
      </w:r>
      <w:r w:rsidR="009B2B8C">
        <w:rPr>
          <w:rFonts w:cstheme="minorHAnsi"/>
          <w:color w:val="000000"/>
          <w:lang w:val="el-GR"/>
        </w:rPr>
        <w:t xml:space="preserve"> </w:t>
      </w:r>
      <w:proofErr w:type="spellStart"/>
      <w:r w:rsidR="00D549BC">
        <w:rPr>
          <w:rFonts w:cstheme="minorHAnsi"/>
          <w:color w:val="000000"/>
          <w:lang w:val="el-GR"/>
        </w:rPr>
        <w:t>μονοκλωνικό</w:t>
      </w:r>
      <w:proofErr w:type="spellEnd"/>
      <w:r w:rsidR="00D549BC">
        <w:rPr>
          <w:rFonts w:cstheme="minorHAnsi"/>
          <w:color w:val="000000"/>
          <w:lang w:val="el-GR"/>
        </w:rPr>
        <w:t xml:space="preserve"> αντίσωμα, το οποίο βρίσκεται </w:t>
      </w:r>
      <w:r w:rsidRPr="003012B8">
        <w:rPr>
          <w:rFonts w:cstheme="minorHAnsi"/>
          <w:color w:val="000000"/>
          <w:lang w:val="el-GR"/>
        </w:rPr>
        <w:t xml:space="preserve">σε φάση ανάπτυξης για την υποτροπιάζουσα ΠΣ. Η </w:t>
      </w:r>
      <w:proofErr w:type="spellStart"/>
      <w:r w:rsidRPr="003012B8">
        <w:rPr>
          <w:rFonts w:cstheme="minorHAnsi"/>
          <w:color w:val="000000"/>
          <w:lang w:val="el-GR"/>
        </w:rPr>
        <w:t>οφατουμουμάμπη</w:t>
      </w:r>
      <w:proofErr w:type="spellEnd"/>
      <w:r w:rsidRPr="003012B8">
        <w:rPr>
          <w:rFonts w:cstheme="minorHAnsi"/>
          <w:color w:val="000000"/>
          <w:lang w:val="el-GR"/>
        </w:rPr>
        <w:t xml:space="preserve"> στοχεύει στο μόριο </w:t>
      </w:r>
      <w:r>
        <w:rPr>
          <w:rFonts w:cstheme="minorHAnsi"/>
          <w:color w:val="000000"/>
        </w:rPr>
        <w:t>CD</w:t>
      </w:r>
      <w:r w:rsidRPr="003012B8">
        <w:rPr>
          <w:rFonts w:cstheme="minorHAnsi"/>
          <w:color w:val="000000"/>
          <w:lang w:val="el-GR"/>
        </w:rPr>
        <w:t xml:space="preserve">20 και επί του παρόντος διερευνάται σε δύο πιλοτικές μελέτες φάσης </w:t>
      </w:r>
      <w:r>
        <w:rPr>
          <w:rFonts w:cstheme="minorHAnsi"/>
          <w:color w:val="000000"/>
        </w:rPr>
        <w:t>III</w:t>
      </w:r>
      <w:r w:rsidRPr="003012B8">
        <w:rPr>
          <w:rFonts w:cstheme="minorHAnsi"/>
          <w:color w:val="000000"/>
          <w:lang w:val="el-GR"/>
        </w:rPr>
        <w:t>.</w:t>
      </w:r>
    </w:p>
    <w:p w:rsidR="007B457A" w:rsidRPr="003012B8" w:rsidRDefault="007B457A" w:rsidP="00FC3BF8">
      <w:pPr>
        <w:pStyle w:val="NormalWeb"/>
        <w:spacing w:before="0" w:beforeAutospacing="0" w:after="0" w:afterAutospacing="0"/>
        <w:jc w:val="both"/>
        <w:rPr>
          <w:rFonts w:asciiTheme="majorHAnsi" w:hAnsiTheme="majorHAnsi" w:cstheme="majorHAnsi"/>
          <w:b/>
          <w:bCs/>
          <w:sz w:val="20"/>
          <w:szCs w:val="20"/>
          <w:lang w:val="el-GR"/>
        </w:rPr>
      </w:pPr>
    </w:p>
    <w:p w:rsidR="00E8162E" w:rsidRPr="003012B8" w:rsidRDefault="00E8162E" w:rsidP="00FC3BF8">
      <w:pPr>
        <w:pStyle w:val="NormalWeb"/>
        <w:spacing w:before="0" w:beforeAutospacing="0" w:after="0" w:afterAutospacing="0"/>
        <w:jc w:val="both"/>
        <w:rPr>
          <w:rFonts w:asciiTheme="majorHAnsi" w:hAnsiTheme="majorHAnsi" w:cstheme="majorHAnsi"/>
          <w:sz w:val="20"/>
          <w:szCs w:val="20"/>
          <w:lang w:val="el-GR"/>
        </w:rPr>
      </w:pPr>
      <w:r w:rsidRPr="003012B8">
        <w:rPr>
          <w:rFonts w:asciiTheme="majorHAnsi" w:hAnsiTheme="majorHAnsi" w:cstheme="majorHAnsi"/>
          <w:b/>
          <w:sz w:val="20"/>
          <w:lang w:val="el-GR"/>
        </w:rPr>
        <w:t>Δήλωση αποποίησης</w:t>
      </w:r>
    </w:p>
    <w:p w:rsidR="00BD1B98" w:rsidRPr="003012B8" w:rsidRDefault="00BD1B98" w:rsidP="00FC3BF8">
      <w:pPr>
        <w:pStyle w:val="NormalWeb"/>
        <w:spacing w:before="0" w:beforeAutospacing="0" w:after="0" w:afterAutospacing="0"/>
        <w:jc w:val="both"/>
        <w:rPr>
          <w:rFonts w:asciiTheme="minorHAnsi" w:hAnsiTheme="minorHAnsi" w:cstheme="minorHAnsi"/>
          <w:sz w:val="20"/>
          <w:szCs w:val="20"/>
          <w:lang w:val="el-GR"/>
        </w:rPr>
      </w:pPr>
      <w:r w:rsidRPr="00FC3BF8">
        <w:rPr>
          <w:rFonts w:asciiTheme="minorHAnsi" w:hAnsiTheme="minorHAnsi" w:cstheme="minorHAnsi"/>
          <w:sz w:val="20"/>
          <w:lang w:val="el-GR"/>
        </w:rPr>
        <w:t xml:space="preserve">Το ανωτέρω δελτίο περιλαμβάνει </w:t>
      </w:r>
      <w:proofErr w:type="spellStart"/>
      <w:r w:rsidRPr="00FC3BF8">
        <w:rPr>
          <w:rFonts w:asciiTheme="minorHAnsi" w:hAnsiTheme="minorHAnsi" w:cstheme="minorHAnsi"/>
          <w:sz w:val="20"/>
          <w:lang w:val="el-GR"/>
        </w:rPr>
        <w:t>μελλοντοστρεφείς</w:t>
      </w:r>
      <w:proofErr w:type="spellEnd"/>
      <w:r w:rsidRPr="00FC3BF8">
        <w:rPr>
          <w:rFonts w:asciiTheme="minorHAnsi" w:hAnsiTheme="minorHAnsi" w:cstheme="minorHAnsi"/>
          <w:sz w:val="20"/>
          <w:lang w:val="el-GR"/>
        </w:rPr>
        <w:t xml:space="preserve"> δηλώσεις οι οποίες μπορούν να προσδιοριστούν με λέξεις όπως «συνεχίζει», «συνέχεια», «καταβαλλόμενες προσπάθειες», «βήμα προόδου», «αναμένουμε», «επόμενα βήματα», «θα», «σε φάση ανάπτυξης», «διερευνητικός», «διερευνάται» ή παρόμοιους όρο, ή με ρητές ή υποδηλούμενες συζητήσεις αναφορικά με τις δυνητικές εγκρίσεις διάθεσης στην αγορά για το </w:t>
      </w:r>
      <w:r w:rsidRPr="00FC3BF8">
        <w:rPr>
          <w:rFonts w:asciiTheme="minorHAnsi" w:hAnsiTheme="minorHAnsi" w:cstheme="minorHAnsi"/>
          <w:sz w:val="20"/>
        </w:rPr>
        <w:t>BAF</w:t>
      </w:r>
      <w:r w:rsidRPr="00FC3BF8">
        <w:rPr>
          <w:rFonts w:asciiTheme="minorHAnsi" w:hAnsiTheme="minorHAnsi" w:cstheme="minorHAnsi"/>
          <w:sz w:val="20"/>
          <w:lang w:val="el-GR"/>
        </w:rPr>
        <w:t xml:space="preserve">312 και το </w:t>
      </w:r>
      <w:r w:rsidRPr="00FC3BF8">
        <w:rPr>
          <w:rFonts w:asciiTheme="minorHAnsi" w:hAnsiTheme="minorHAnsi" w:cstheme="minorHAnsi"/>
          <w:sz w:val="20"/>
        </w:rPr>
        <w:t>OMB</w:t>
      </w:r>
      <w:r w:rsidRPr="00FC3BF8">
        <w:rPr>
          <w:rFonts w:asciiTheme="minorHAnsi" w:hAnsiTheme="minorHAnsi" w:cstheme="minorHAnsi"/>
          <w:sz w:val="20"/>
          <w:lang w:val="el-GR"/>
        </w:rPr>
        <w:t xml:space="preserve">157, τις δυνητικές νέες </w:t>
      </w:r>
      <w:r w:rsidR="00FC3BF8">
        <w:rPr>
          <w:rFonts w:asciiTheme="minorHAnsi" w:hAnsiTheme="minorHAnsi" w:cstheme="minorHAnsi"/>
          <w:sz w:val="20"/>
          <w:lang w:val="el-GR"/>
        </w:rPr>
        <w:t>ενδείξεις ή την επισήμανση για την</w:t>
      </w:r>
      <w:r w:rsidRPr="00FC3BF8">
        <w:rPr>
          <w:rFonts w:asciiTheme="minorHAnsi" w:hAnsiTheme="minorHAnsi" w:cstheme="minorHAnsi"/>
          <w:sz w:val="20"/>
          <w:lang w:val="el-GR"/>
        </w:rPr>
        <w:t xml:space="preserve"> </w:t>
      </w:r>
      <w:proofErr w:type="spellStart"/>
      <w:r w:rsidR="00FC3BF8" w:rsidRPr="00FC3BF8">
        <w:rPr>
          <w:rFonts w:asciiTheme="minorHAnsi" w:hAnsiTheme="minorHAnsi" w:cstheme="minorHAnsi"/>
          <w:sz w:val="20"/>
          <w:lang w:val="el-GR"/>
        </w:rPr>
        <w:t>φινγκολιμόδη</w:t>
      </w:r>
      <w:proofErr w:type="spellEnd"/>
      <w:r w:rsidR="00FC3BF8" w:rsidRPr="00FC3BF8">
        <w:rPr>
          <w:rFonts w:asciiTheme="minorHAnsi" w:hAnsiTheme="minorHAnsi" w:cstheme="minorHAnsi"/>
          <w:sz w:val="20"/>
          <w:lang w:val="el-GR"/>
        </w:rPr>
        <w:t xml:space="preserve"> </w:t>
      </w:r>
      <w:r w:rsidR="00FC3BF8">
        <w:rPr>
          <w:rFonts w:asciiTheme="minorHAnsi" w:hAnsiTheme="minorHAnsi" w:cstheme="minorHAnsi"/>
          <w:sz w:val="20"/>
          <w:lang w:val="el-GR"/>
        </w:rPr>
        <w:t>ή την</w:t>
      </w:r>
      <w:r w:rsidR="00FC3BF8" w:rsidRPr="00FC3BF8">
        <w:rPr>
          <w:rFonts w:asciiTheme="minorHAnsi" w:hAnsiTheme="minorHAnsi" w:cstheme="minorHAnsi"/>
          <w:sz w:val="20"/>
          <w:lang w:val="el-GR"/>
        </w:rPr>
        <w:t xml:space="preserve"> </w:t>
      </w:r>
      <w:proofErr w:type="spellStart"/>
      <w:r w:rsidR="00FC3BF8" w:rsidRPr="00FC3BF8">
        <w:rPr>
          <w:rFonts w:asciiTheme="minorHAnsi" w:hAnsiTheme="minorHAnsi" w:cstheme="minorHAnsi"/>
          <w:sz w:val="20"/>
          <w:lang w:val="el-GR"/>
        </w:rPr>
        <w:t>ιντερφερόνη</w:t>
      </w:r>
      <w:proofErr w:type="spellEnd"/>
      <w:r w:rsidR="00FC3BF8" w:rsidRPr="00FC3BF8">
        <w:rPr>
          <w:rFonts w:asciiTheme="minorHAnsi" w:hAnsiTheme="minorHAnsi" w:cstheme="minorHAnsi"/>
          <w:sz w:val="20"/>
          <w:lang w:val="el-GR"/>
        </w:rPr>
        <w:t xml:space="preserve"> βήτα-1b για υποδόρια ένεση</w:t>
      </w:r>
      <w:r w:rsidRPr="00FC3BF8">
        <w:rPr>
          <w:rFonts w:asciiTheme="minorHAnsi" w:hAnsiTheme="minorHAnsi" w:cstheme="minorHAnsi"/>
          <w:sz w:val="20"/>
          <w:lang w:val="el-GR"/>
        </w:rPr>
        <w:t xml:space="preserve">, ή αναφορικά με τα δυνητικά μελλοντικά έσοδα από τα </w:t>
      </w:r>
      <w:r w:rsidRPr="00FC3BF8">
        <w:rPr>
          <w:rFonts w:asciiTheme="minorHAnsi" w:hAnsiTheme="minorHAnsi" w:cstheme="minorHAnsi"/>
          <w:sz w:val="20"/>
        </w:rPr>
        <w:t>BAF</w:t>
      </w:r>
      <w:r w:rsidRPr="00FC3BF8">
        <w:rPr>
          <w:rFonts w:asciiTheme="minorHAnsi" w:hAnsiTheme="minorHAnsi" w:cstheme="minorHAnsi"/>
          <w:sz w:val="20"/>
          <w:lang w:val="el-GR"/>
        </w:rPr>
        <w:t xml:space="preserve">312, </w:t>
      </w:r>
      <w:r w:rsidR="004E1DDD">
        <w:rPr>
          <w:rFonts w:asciiTheme="minorHAnsi" w:hAnsiTheme="minorHAnsi" w:cstheme="minorHAnsi"/>
          <w:sz w:val="20"/>
          <w:lang w:val="el-GR"/>
        </w:rPr>
        <w:t xml:space="preserve">την </w:t>
      </w:r>
      <w:proofErr w:type="spellStart"/>
      <w:r w:rsidR="004E1DDD" w:rsidRPr="004E1DDD">
        <w:rPr>
          <w:rFonts w:asciiTheme="minorHAnsi" w:hAnsiTheme="minorHAnsi" w:cstheme="minorHAnsi"/>
          <w:sz w:val="20"/>
          <w:lang w:val="el-GR"/>
        </w:rPr>
        <w:t>φινγκολιμόδη</w:t>
      </w:r>
      <w:proofErr w:type="spellEnd"/>
      <w:r w:rsidRPr="00FC3BF8">
        <w:rPr>
          <w:rFonts w:asciiTheme="minorHAnsi" w:hAnsiTheme="minorHAnsi" w:cstheme="minorHAnsi"/>
          <w:sz w:val="20"/>
          <w:lang w:val="el-GR"/>
        </w:rPr>
        <w:t xml:space="preserve">, </w:t>
      </w:r>
      <w:r w:rsidR="004E1DDD" w:rsidRPr="004E1DDD">
        <w:rPr>
          <w:rFonts w:asciiTheme="minorHAnsi" w:hAnsiTheme="minorHAnsi" w:cstheme="minorHAnsi"/>
          <w:sz w:val="20"/>
          <w:lang w:val="el-GR"/>
        </w:rPr>
        <w:t xml:space="preserve">την </w:t>
      </w:r>
      <w:proofErr w:type="spellStart"/>
      <w:r w:rsidR="004E1DDD" w:rsidRPr="004E1DDD">
        <w:rPr>
          <w:rFonts w:asciiTheme="minorHAnsi" w:hAnsiTheme="minorHAnsi" w:cstheme="minorHAnsi"/>
          <w:sz w:val="20"/>
          <w:lang w:val="el-GR"/>
        </w:rPr>
        <w:t>ιντερφερόνη</w:t>
      </w:r>
      <w:proofErr w:type="spellEnd"/>
      <w:r w:rsidR="004E1DDD" w:rsidRPr="004E1DDD">
        <w:rPr>
          <w:rFonts w:asciiTheme="minorHAnsi" w:hAnsiTheme="minorHAnsi" w:cstheme="minorHAnsi"/>
          <w:sz w:val="20"/>
          <w:lang w:val="el-GR"/>
        </w:rPr>
        <w:t xml:space="preserve"> βήτα-1b για υποδόρια ένεση</w:t>
      </w:r>
      <w:r w:rsidRPr="00FC3BF8">
        <w:rPr>
          <w:rFonts w:asciiTheme="minorHAnsi" w:hAnsiTheme="minorHAnsi" w:cstheme="minorHAnsi"/>
          <w:sz w:val="20"/>
          <w:lang w:val="el-GR"/>
        </w:rPr>
        <w:t xml:space="preserve">, </w:t>
      </w:r>
      <w:r w:rsidR="004E1DDD">
        <w:rPr>
          <w:rFonts w:asciiTheme="minorHAnsi" w:hAnsiTheme="minorHAnsi" w:cstheme="minorHAnsi"/>
          <w:sz w:val="20"/>
          <w:lang w:val="el-GR"/>
        </w:rPr>
        <w:t xml:space="preserve">το </w:t>
      </w:r>
      <w:r w:rsidRPr="00FC3BF8">
        <w:rPr>
          <w:rFonts w:asciiTheme="minorHAnsi" w:hAnsiTheme="minorHAnsi" w:cstheme="minorHAnsi"/>
          <w:sz w:val="20"/>
        </w:rPr>
        <w:t>OMB</w:t>
      </w:r>
      <w:r w:rsidRPr="00FC3BF8">
        <w:rPr>
          <w:rFonts w:asciiTheme="minorHAnsi" w:hAnsiTheme="minorHAnsi" w:cstheme="minorHAnsi"/>
          <w:sz w:val="20"/>
          <w:lang w:val="el-GR"/>
        </w:rPr>
        <w:t xml:space="preserve">157 και </w:t>
      </w:r>
      <w:r w:rsidR="004E1DDD">
        <w:rPr>
          <w:rFonts w:asciiTheme="minorHAnsi" w:hAnsiTheme="minorHAnsi" w:cstheme="minorHAnsi"/>
          <w:sz w:val="20"/>
          <w:lang w:val="el-GR"/>
        </w:rPr>
        <w:t xml:space="preserve">την </w:t>
      </w:r>
      <w:r w:rsidR="004E1DDD" w:rsidRPr="004E1DDD">
        <w:rPr>
          <w:rFonts w:asciiTheme="minorHAnsi" w:hAnsiTheme="minorHAnsi" w:cstheme="minorHAnsi"/>
          <w:sz w:val="20"/>
          <w:lang w:val="el-GR"/>
        </w:rPr>
        <w:t xml:space="preserve">ενέσιμη οξική </w:t>
      </w:r>
      <w:proofErr w:type="spellStart"/>
      <w:r w:rsidR="004E1DDD" w:rsidRPr="004E1DDD">
        <w:rPr>
          <w:rFonts w:asciiTheme="minorHAnsi" w:hAnsiTheme="minorHAnsi" w:cstheme="minorHAnsi"/>
          <w:sz w:val="20"/>
          <w:lang w:val="el-GR"/>
        </w:rPr>
        <w:t>γλατιραμέρη</w:t>
      </w:r>
      <w:proofErr w:type="spellEnd"/>
      <w:r w:rsidR="004E1DDD" w:rsidRPr="004E1DDD">
        <w:rPr>
          <w:rFonts w:asciiTheme="minorHAnsi" w:hAnsiTheme="minorHAnsi" w:cstheme="minorHAnsi"/>
          <w:sz w:val="20"/>
          <w:lang w:val="el-GR"/>
        </w:rPr>
        <w:t xml:space="preserve"> </w:t>
      </w:r>
      <w:r w:rsidRPr="00FC3BF8">
        <w:rPr>
          <w:rFonts w:asciiTheme="minorHAnsi" w:hAnsiTheme="minorHAnsi" w:cstheme="minorHAnsi"/>
          <w:sz w:val="20"/>
        </w:rPr>
        <w:t>G</w:t>
      </w:r>
      <w:r w:rsidRPr="00FC3BF8">
        <w:rPr>
          <w:rFonts w:asciiTheme="minorHAnsi" w:hAnsiTheme="minorHAnsi" w:cstheme="minorHAnsi"/>
          <w:sz w:val="20"/>
          <w:lang w:val="el-GR"/>
        </w:rPr>
        <w:t xml:space="preserve">. Δεν θα πρέπει να βασίζεστε υπέρ το δέον στις δηλώσεις αυτές. Οι εν λόγω </w:t>
      </w:r>
      <w:proofErr w:type="spellStart"/>
      <w:r w:rsidRPr="00FC3BF8">
        <w:rPr>
          <w:rFonts w:asciiTheme="minorHAnsi" w:hAnsiTheme="minorHAnsi" w:cstheme="minorHAnsi"/>
          <w:sz w:val="20"/>
          <w:lang w:val="el-GR"/>
        </w:rPr>
        <w:t>μελλοντοστρεφείς</w:t>
      </w:r>
      <w:proofErr w:type="spellEnd"/>
      <w:r w:rsidRPr="00FC3BF8">
        <w:rPr>
          <w:rFonts w:asciiTheme="minorHAnsi" w:hAnsiTheme="minorHAnsi" w:cstheme="minorHAnsi"/>
          <w:sz w:val="20"/>
          <w:lang w:val="el-GR"/>
        </w:rPr>
        <w:t xml:space="preserve"> δηλώσεις βασίζονται στις τρέχουσες πεποιθήσεις και τις προσδοκίες της διοίκησης αναφορικά με τα μελλοντικά συμβάντα, και υπόκεινται σε σημαντικούς γνωστούς </w:t>
      </w:r>
      <w:r w:rsidRPr="00FC3BF8">
        <w:rPr>
          <w:rFonts w:asciiTheme="minorHAnsi" w:hAnsiTheme="minorHAnsi" w:cstheme="minorHAnsi"/>
          <w:sz w:val="20"/>
          <w:lang w:val="el-GR"/>
        </w:rPr>
        <w:lastRenderedPageBreak/>
        <w:t xml:space="preserve">και άγνωστους κινδύνους και αβεβαιότητες. Σε περίπτωση που υλοποιηθούν ένας ή περισσότεροι από αυτούς τους κινδύνους ή τις αβεβαιότητες, ή αποδειχθούν εσφαλμένες οι βασικές υποθέσεις, τα πραγματικά αποτελέσματα ενδέχεται να διαφέρουν υλικά από αυτά που αναφέρονται στις </w:t>
      </w:r>
      <w:proofErr w:type="spellStart"/>
      <w:r w:rsidRPr="00FC3BF8">
        <w:rPr>
          <w:rFonts w:asciiTheme="minorHAnsi" w:hAnsiTheme="minorHAnsi" w:cstheme="minorHAnsi"/>
          <w:sz w:val="20"/>
          <w:lang w:val="el-GR"/>
        </w:rPr>
        <w:t>μελλοντοστρεφείς</w:t>
      </w:r>
      <w:proofErr w:type="spellEnd"/>
      <w:r w:rsidRPr="00FC3BF8">
        <w:rPr>
          <w:rFonts w:asciiTheme="minorHAnsi" w:hAnsiTheme="minorHAnsi" w:cstheme="minorHAnsi"/>
          <w:sz w:val="20"/>
          <w:lang w:val="el-GR"/>
        </w:rPr>
        <w:t xml:space="preserve"> δηλώσεις. Δεν μπορεί να υπάρξει εγγύηση ότι το </w:t>
      </w:r>
      <w:r w:rsidRPr="00FC3BF8">
        <w:rPr>
          <w:rFonts w:asciiTheme="minorHAnsi" w:hAnsiTheme="minorHAnsi" w:cstheme="minorHAnsi"/>
          <w:sz w:val="20"/>
        </w:rPr>
        <w:t>BAF</w:t>
      </w:r>
      <w:r w:rsidRPr="00FC3BF8">
        <w:rPr>
          <w:rFonts w:asciiTheme="minorHAnsi" w:hAnsiTheme="minorHAnsi" w:cstheme="minorHAnsi"/>
          <w:sz w:val="20"/>
          <w:lang w:val="el-GR"/>
        </w:rPr>
        <w:t xml:space="preserve">312 ή το </w:t>
      </w:r>
      <w:r w:rsidRPr="00FC3BF8">
        <w:rPr>
          <w:rFonts w:asciiTheme="minorHAnsi" w:hAnsiTheme="minorHAnsi" w:cstheme="minorHAnsi"/>
          <w:sz w:val="20"/>
        </w:rPr>
        <w:t>OMB</w:t>
      </w:r>
      <w:r w:rsidRPr="00FC3BF8">
        <w:rPr>
          <w:rFonts w:asciiTheme="minorHAnsi" w:hAnsiTheme="minorHAnsi" w:cstheme="minorHAnsi"/>
          <w:sz w:val="20"/>
          <w:lang w:val="el-GR"/>
        </w:rPr>
        <w:t xml:space="preserve">157 θα λάβουν έγκριση για πώληση σε οποιαδήποτε αγορά ή ανά πάσα στιγμή. Ούτε μπορεί να υπάρξει εγγύηση ότι </w:t>
      </w:r>
      <w:r w:rsidR="004E1DDD">
        <w:rPr>
          <w:rFonts w:asciiTheme="minorHAnsi" w:hAnsiTheme="minorHAnsi" w:cstheme="minorHAnsi"/>
          <w:sz w:val="20"/>
          <w:lang w:val="el-GR"/>
        </w:rPr>
        <w:t xml:space="preserve">η </w:t>
      </w:r>
      <w:proofErr w:type="spellStart"/>
      <w:r w:rsidR="004E1DDD" w:rsidRPr="004E1DDD">
        <w:rPr>
          <w:rFonts w:asciiTheme="minorHAnsi" w:hAnsiTheme="minorHAnsi" w:cstheme="minorHAnsi"/>
          <w:sz w:val="20"/>
          <w:lang w:val="el-GR"/>
        </w:rPr>
        <w:t>φινγκολιμόδη</w:t>
      </w:r>
      <w:proofErr w:type="spellEnd"/>
      <w:r w:rsidR="004E1DDD" w:rsidRPr="004E1DDD">
        <w:rPr>
          <w:rFonts w:asciiTheme="minorHAnsi" w:hAnsiTheme="minorHAnsi" w:cstheme="minorHAnsi"/>
          <w:sz w:val="20"/>
          <w:lang w:val="el-GR"/>
        </w:rPr>
        <w:t xml:space="preserve"> ή </w:t>
      </w:r>
      <w:r w:rsidR="004E1DDD">
        <w:rPr>
          <w:rFonts w:asciiTheme="minorHAnsi" w:hAnsiTheme="minorHAnsi" w:cstheme="minorHAnsi"/>
          <w:sz w:val="20"/>
          <w:lang w:val="el-GR"/>
        </w:rPr>
        <w:t>η</w:t>
      </w:r>
      <w:r w:rsidR="004E1DDD" w:rsidRPr="004E1DDD">
        <w:rPr>
          <w:rFonts w:asciiTheme="minorHAnsi" w:hAnsiTheme="minorHAnsi" w:cstheme="minorHAnsi"/>
          <w:sz w:val="20"/>
          <w:lang w:val="el-GR"/>
        </w:rPr>
        <w:t xml:space="preserve"> </w:t>
      </w:r>
      <w:proofErr w:type="spellStart"/>
      <w:r w:rsidR="004E1DDD" w:rsidRPr="004E1DDD">
        <w:rPr>
          <w:rFonts w:asciiTheme="minorHAnsi" w:hAnsiTheme="minorHAnsi" w:cstheme="minorHAnsi"/>
          <w:sz w:val="20"/>
          <w:lang w:val="el-GR"/>
        </w:rPr>
        <w:t>ιντερφερόνη</w:t>
      </w:r>
      <w:proofErr w:type="spellEnd"/>
      <w:r w:rsidR="004E1DDD" w:rsidRPr="004E1DDD">
        <w:rPr>
          <w:rFonts w:asciiTheme="minorHAnsi" w:hAnsiTheme="minorHAnsi" w:cstheme="minorHAnsi"/>
          <w:sz w:val="20"/>
          <w:lang w:val="el-GR"/>
        </w:rPr>
        <w:t xml:space="preserve"> βήτα-1b για υποδόρια ένεση </w:t>
      </w:r>
      <w:r w:rsidRPr="00FC3BF8">
        <w:rPr>
          <w:rFonts w:asciiTheme="minorHAnsi" w:hAnsiTheme="minorHAnsi" w:cstheme="minorHAnsi"/>
          <w:sz w:val="20"/>
          <w:lang w:val="el-GR"/>
        </w:rPr>
        <w:t xml:space="preserve">θα υποβληθούν για έγκριση ή θα λάβουν έγκριση για τυχόν πρόσθετες ενδείξεις ή επισήμανση σε οποιαδήποτε αγορά ή ανά πάσα στιγμή. Επίσης, δεν μπορεί να υπάρξει εγγύηση ότι οποιοδήποτε από τα </w:t>
      </w:r>
      <w:r w:rsidRPr="00FC3BF8">
        <w:rPr>
          <w:rFonts w:asciiTheme="minorHAnsi" w:hAnsiTheme="minorHAnsi" w:cstheme="minorHAnsi"/>
          <w:sz w:val="20"/>
        </w:rPr>
        <w:t>BAF</w:t>
      </w:r>
      <w:r w:rsidRPr="00FC3BF8">
        <w:rPr>
          <w:rFonts w:asciiTheme="minorHAnsi" w:hAnsiTheme="minorHAnsi" w:cstheme="minorHAnsi"/>
          <w:sz w:val="20"/>
          <w:lang w:val="el-GR"/>
        </w:rPr>
        <w:t xml:space="preserve">312, </w:t>
      </w:r>
      <w:proofErr w:type="spellStart"/>
      <w:r w:rsidR="004E1DDD">
        <w:rPr>
          <w:rFonts w:asciiTheme="minorHAnsi" w:hAnsiTheme="minorHAnsi" w:cstheme="minorHAnsi"/>
          <w:sz w:val="20"/>
          <w:lang w:val="el-GR"/>
        </w:rPr>
        <w:t>φινγκολιμόδη</w:t>
      </w:r>
      <w:proofErr w:type="spellEnd"/>
      <w:r w:rsidR="004E1DDD">
        <w:rPr>
          <w:rFonts w:asciiTheme="minorHAnsi" w:hAnsiTheme="minorHAnsi" w:cstheme="minorHAnsi"/>
          <w:sz w:val="20"/>
          <w:lang w:val="el-GR"/>
        </w:rPr>
        <w:t>,</w:t>
      </w:r>
      <w:r w:rsidR="004E1DDD" w:rsidRPr="004E1DDD">
        <w:rPr>
          <w:rFonts w:asciiTheme="minorHAnsi" w:hAnsiTheme="minorHAnsi" w:cstheme="minorHAnsi"/>
          <w:sz w:val="20"/>
          <w:lang w:val="el-GR"/>
        </w:rPr>
        <w:t xml:space="preserve"> </w:t>
      </w:r>
      <w:proofErr w:type="spellStart"/>
      <w:r w:rsidR="004E1DDD" w:rsidRPr="004E1DDD">
        <w:rPr>
          <w:rFonts w:asciiTheme="minorHAnsi" w:hAnsiTheme="minorHAnsi" w:cstheme="minorHAnsi"/>
          <w:sz w:val="20"/>
          <w:lang w:val="el-GR"/>
        </w:rPr>
        <w:t>ιντερφε</w:t>
      </w:r>
      <w:r w:rsidR="004E1DDD">
        <w:rPr>
          <w:rFonts w:asciiTheme="minorHAnsi" w:hAnsiTheme="minorHAnsi" w:cstheme="minorHAnsi"/>
          <w:sz w:val="20"/>
          <w:lang w:val="el-GR"/>
        </w:rPr>
        <w:t>ρόνη</w:t>
      </w:r>
      <w:proofErr w:type="spellEnd"/>
      <w:r w:rsidR="004E1DDD">
        <w:rPr>
          <w:rFonts w:asciiTheme="minorHAnsi" w:hAnsiTheme="minorHAnsi" w:cstheme="minorHAnsi"/>
          <w:sz w:val="20"/>
          <w:lang w:val="el-GR"/>
        </w:rPr>
        <w:t xml:space="preserve"> βήτα-1b για υποδόρια ένεση, </w:t>
      </w:r>
      <w:r w:rsidRPr="00FC3BF8">
        <w:rPr>
          <w:rFonts w:asciiTheme="minorHAnsi" w:hAnsiTheme="minorHAnsi" w:cstheme="minorHAnsi"/>
          <w:sz w:val="20"/>
        </w:rPr>
        <w:t>OMB</w:t>
      </w:r>
      <w:r w:rsidRPr="00FC3BF8">
        <w:rPr>
          <w:rFonts w:asciiTheme="minorHAnsi" w:hAnsiTheme="minorHAnsi" w:cstheme="minorHAnsi"/>
          <w:sz w:val="20"/>
          <w:lang w:val="el-GR"/>
        </w:rPr>
        <w:t xml:space="preserve">157 ή </w:t>
      </w:r>
      <w:r w:rsidR="004E1DDD" w:rsidRPr="004E1DDD">
        <w:rPr>
          <w:rFonts w:asciiTheme="minorHAnsi" w:hAnsiTheme="minorHAnsi" w:cstheme="minorHAnsi"/>
          <w:sz w:val="20"/>
          <w:lang w:val="el-GR"/>
        </w:rPr>
        <w:t xml:space="preserve">ενέσιμη οξική </w:t>
      </w:r>
      <w:proofErr w:type="spellStart"/>
      <w:r w:rsidR="004E1DDD" w:rsidRPr="004E1DDD">
        <w:rPr>
          <w:rFonts w:asciiTheme="minorHAnsi" w:hAnsiTheme="minorHAnsi" w:cstheme="minorHAnsi"/>
          <w:sz w:val="20"/>
          <w:lang w:val="el-GR"/>
        </w:rPr>
        <w:t>γλατιραμέρη</w:t>
      </w:r>
      <w:proofErr w:type="spellEnd"/>
      <w:r w:rsidR="004E1DDD" w:rsidRPr="004E1DDD">
        <w:rPr>
          <w:rFonts w:asciiTheme="minorHAnsi" w:hAnsiTheme="minorHAnsi" w:cstheme="minorHAnsi"/>
          <w:sz w:val="20"/>
          <w:lang w:val="el-GR"/>
        </w:rPr>
        <w:t xml:space="preserve"> G</w:t>
      </w:r>
      <w:r w:rsidRPr="00FC3BF8">
        <w:rPr>
          <w:rFonts w:asciiTheme="minorHAnsi" w:hAnsiTheme="minorHAnsi" w:cstheme="minorHAnsi"/>
          <w:sz w:val="20"/>
          <w:lang w:val="el-GR"/>
        </w:rPr>
        <w:t xml:space="preserve"> θα είναι εμπορικά επιτυχές στο μέλλον. Συγκεκριμένα, οι προσδοκίες της διοίκησης αναφορικά με τα εν λόγω προϊόντα και τις χημικές ενώσεις θα μπορούσε να επηρεαστεί, μεταξύ άλλων πραγμάτων, από τις εγγενείς αβεβαιότητες της έρευνας και της ανάπτυξης, όπως τα απροσδόκητα αποτελέσματα κλινικών δοκιμών και η πρόσθετη ανάλυση των υπαρχόντων κλινικών δεδομένων, οι απροσδόκητες κανονιστικές ενέργειες ή καθυστερήσεις ή οι κρατικοί κανονισμοί γενικά, η ικανότητα της εταιρείας να κατοχυρώσει ή να διατηρήσει τα ιδιόκτητα δικαιώματα πνευματικής ιδιοκτησίας της, οι γενικές συνθήκες στην οικονομία και τη βιομηχανία, οι παγκόσμιες τάσεις περικοπής του κόστους στις υπηρεσίες υγείας, συμπεριλαμβανομένων των πιέσεων επί των τιμών, τα απροσδόκητα ζητήματα ασφάλειας, ποιότητας ή κατασκευής, καθώς και κάθε άλλος κίνδυνος και παράγοντας που αναφέρεται στη φετινή ετήσια έκθεση </w:t>
      </w:r>
      <w:r w:rsidRPr="00FC3BF8">
        <w:rPr>
          <w:rFonts w:asciiTheme="minorHAnsi" w:hAnsiTheme="minorHAnsi" w:cstheme="minorHAnsi"/>
          <w:sz w:val="20"/>
        </w:rPr>
        <w:t>Form</w:t>
      </w:r>
      <w:r w:rsidRPr="00FC3BF8">
        <w:rPr>
          <w:rFonts w:asciiTheme="minorHAnsi" w:hAnsiTheme="minorHAnsi" w:cstheme="minorHAnsi"/>
          <w:sz w:val="20"/>
          <w:lang w:val="el-GR"/>
        </w:rPr>
        <w:t xml:space="preserve"> 20-</w:t>
      </w:r>
      <w:r w:rsidRPr="00FC3BF8">
        <w:rPr>
          <w:rFonts w:asciiTheme="minorHAnsi" w:hAnsiTheme="minorHAnsi" w:cstheme="minorHAnsi"/>
          <w:sz w:val="20"/>
        </w:rPr>
        <w:t>F</w:t>
      </w:r>
      <w:r w:rsidRPr="00FC3BF8">
        <w:rPr>
          <w:rFonts w:asciiTheme="minorHAnsi" w:hAnsiTheme="minorHAnsi" w:cstheme="minorHAnsi"/>
          <w:sz w:val="20"/>
          <w:lang w:val="el-GR"/>
        </w:rPr>
        <w:t xml:space="preserve"> την οποία διατηρεί για τη </w:t>
      </w:r>
      <w:r w:rsidRPr="00FC3BF8">
        <w:rPr>
          <w:rFonts w:asciiTheme="minorHAnsi" w:hAnsiTheme="minorHAnsi" w:cstheme="minorHAnsi"/>
          <w:sz w:val="20"/>
        </w:rPr>
        <w:t>Novartis</w:t>
      </w:r>
      <w:r w:rsidRPr="00FC3BF8">
        <w:rPr>
          <w:rFonts w:asciiTheme="minorHAnsi" w:hAnsiTheme="minorHAnsi" w:cstheme="minorHAnsi"/>
          <w:sz w:val="20"/>
          <w:lang w:val="el-GR"/>
        </w:rPr>
        <w:t xml:space="preserve"> </w:t>
      </w:r>
      <w:r w:rsidRPr="00FC3BF8">
        <w:rPr>
          <w:rFonts w:asciiTheme="minorHAnsi" w:hAnsiTheme="minorHAnsi" w:cstheme="minorHAnsi"/>
          <w:sz w:val="20"/>
        </w:rPr>
        <w:t>AG</w:t>
      </w:r>
      <w:r w:rsidRPr="00FC3BF8">
        <w:rPr>
          <w:rFonts w:asciiTheme="minorHAnsi" w:hAnsiTheme="minorHAnsi" w:cstheme="minorHAnsi"/>
          <w:sz w:val="20"/>
          <w:lang w:val="el-GR"/>
        </w:rPr>
        <w:t xml:space="preserve"> η Επιτροπή Κεφαλαιαγοράς των ΗΠΑ. Η </w:t>
      </w:r>
      <w:r w:rsidRPr="00FC3BF8">
        <w:rPr>
          <w:rFonts w:asciiTheme="minorHAnsi" w:hAnsiTheme="minorHAnsi" w:cstheme="minorHAnsi"/>
          <w:sz w:val="20"/>
        </w:rPr>
        <w:t>Novartis</w:t>
      </w:r>
      <w:r w:rsidRPr="00FC3BF8">
        <w:rPr>
          <w:rFonts w:asciiTheme="minorHAnsi" w:hAnsiTheme="minorHAnsi" w:cstheme="minorHAnsi"/>
          <w:sz w:val="20"/>
          <w:lang w:val="el-GR"/>
        </w:rPr>
        <w:t xml:space="preserve"> παρέχει τις πληροφορίες στο παρόν δελτίο τύπου ως έχουν σήμερα και δεν αναλαμβάνει οποιαδήποτε υποχρέωση </w:t>
      </w:r>
      <w:proofErr w:type="spellStart"/>
      <w:r w:rsidRPr="00FC3BF8">
        <w:rPr>
          <w:rFonts w:asciiTheme="minorHAnsi" w:hAnsiTheme="minorHAnsi" w:cstheme="minorHAnsi"/>
          <w:sz w:val="20"/>
          <w:lang w:val="el-GR"/>
        </w:rPr>
        <w:t>επικαιροποίησης</w:t>
      </w:r>
      <w:proofErr w:type="spellEnd"/>
      <w:r w:rsidRPr="00FC3BF8">
        <w:rPr>
          <w:rFonts w:asciiTheme="minorHAnsi" w:hAnsiTheme="minorHAnsi" w:cstheme="minorHAnsi"/>
          <w:sz w:val="20"/>
          <w:lang w:val="el-GR"/>
        </w:rPr>
        <w:t xml:space="preserve"> οποιωνδήποτε </w:t>
      </w:r>
      <w:proofErr w:type="spellStart"/>
      <w:r w:rsidRPr="00FC3BF8">
        <w:rPr>
          <w:rFonts w:asciiTheme="minorHAnsi" w:hAnsiTheme="minorHAnsi" w:cstheme="minorHAnsi"/>
          <w:sz w:val="20"/>
          <w:lang w:val="el-GR"/>
        </w:rPr>
        <w:t>μελλοντοστρεφών</w:t>
      </w:r>
      <w:proofErr w:type="spellEnd"/>
      <w:r w:rsidRPr="00FC3BF8">
        <w:rPr>
          <w:rFonts w:asciiTheme="minorHAnsi" w:hAnsiTheme="minorHAnsi" w:cstheme="minorHAnsi"/>
          <w:sz w:val="20"/>
          <w:lang w:val="el-GR"/>
        </w:rPr>
        <w:t xml:space="preserve"> δηλώσεων που περιλαμβάνονται στο παρόν δελτίο τύπου ως αποτέλεσμα νέων πληροφοριών, μελλοντικών συμβάντων ή άλλως.</w:t>
      </w:r>
    </w:p>
    <w:p w:rsidR="00E8162E" w:rsidRPr="003012B8" w:rsidRDefault="00E8162E" w:rsidP="00FC3BF8">
      <w:pPr>
        <w:pStyle w:val="NormalWeb"/>
        <w:spacing w:before="0" w:beforeAutospacing="0" w:after="0" w:afterAutospacing="0"/>
        <w:jc w:val="both"/>
        <w:rPr>
          <w:rFonts w:asciiTheme="majorHAnsi" w:hAnsiTheme="majorHAnsi" w:cstheme="majorHAnsi"/>
          <w:sz w:val="20"/>
          <w:szCs w:val="20"/>
          <w:lang w:val="el-GR"/>
        </w:rPr>
      </w:pPr>
    </w:p>
    <w:p w:rsidR="00E8162E" w:rsidRPr="003012B8" w:rsidRDefault="00E8162E" w:rsidP="00FC3BF8">
      <w:pPr>
        <w:keepLines/>
        <w:jc w:val="both"/>
        <w:outlineLvl w:val="0"/>
        <w:rPr>
          <w:rFonts w:asciiTheme="majorHAnsi" w:hAnsiTheme="majorHAnsi" w:cstheme="majorHAnsi"/>
          <w:b/>
          <w:bCs/>
          <w:lang w:val="el-GR"/>
        </w:rPr>
      </w:pPr>
      <w:r w:rsidRPr="003012B8">
        <w:rPr>
          <w:rFonts w:asciiTheme="majorHAnsi" w:hAnsiTheme="majorHAnsi" w:cstheme="majorHAnsi"/>
          <w:b/>
          <w:lang w:val="el-GR"/>
        </w:rPr>
        <w:t xml:space="preserve">Σχετικά με τη </w:t>
      </w:r>
      <w:r>
        <w:rPr>
          <w:rFonts w:asciiTheme="majorHAnsi" w:hAnsiTheme="majorHAnsi" w:cstheme="majorHAnsi"/>
          <w:b/>
        </w:rPr>
        <w:t>Novartis</w:t>
      </w:r>
    </w:p>
    <w:p w:rsidR="00E8162E" w:rsidRPr="003012B8" w:rsidRDefault="00E8162E" w:rsidP="00FC3BF8">
      <w:pPr>
        <w:jc w:val="both"/>
        <w:rPr>
          <w:rFonts w:eastAsia="Calibri" w:cstheme="minorHAnsi"/>
          <w:color w:val="000000"/>
          <w:lang w:val="el-GR"/>
        </w:rPr>
      </w:pPr>
      <w:r w:rsidRPr="003012B8">
        <w:rPr>
          <w:rFonts w:cstheme="minorHAnsi"/>
          <w:color w:val="000000"/>
          <w:lang w:val="el-GR"/>
        </w:rPr>
        <w:t xml:space="preserve">Η </w:t>
      </w:r>
      <w:r>
        <w:rPr>
          <w:rFonts w:cstheme="minorHAnsi"/>
          <w:color w:val="000000"/>
        </w:rPr>
        <w:t>Novartis</w:t>
      </w:r>
      <w:r w:rsidRPr="003012B8">
        <w:rPr>
          <w:rFonts w:cstheme="minorHAnsi"/>
          <w:color w:val="000000"/>
          <w:lang w:val="el-GR"/>
        </w:rPr>
        <w:t xml:space="preserve"> παρέχει καινοτόμες λύσεις υγείας που ικανοποιούν τις εξελισσόμενες ανάγκες των ασθενών και των κοινωνιών. Η </w:t>
      </w:r>
      <w:r>
        <w:rPr>
          <w:rFonts w:cstheme="minorHAnsi"/>
          <w:color w:val="000000"/>
        </w:rPr>
        <w:t>Novartis</w:t>
      </w:r>
      <w:r w:rsidRPr="003012B8">
        <w:rPr>
          <w:rFonts w:cstheme="minorHAnsi"/>
          <w:color w:val="000000"/>
          <w:lang w:val="el-GR"/>
        </w:rPr>
        <w:t xml:space="preserve"> εδρεύει στη Βασιλεία της Ελβετίας και προσφέρει ένα διαφοροποιημένο χαρτοφυλάκιο για την καλύτερη δυνατή κάλυψη των αναγκών αυτών: καινοτόμα φάρμακα, οφθαλμιατρικά προϊόντα και οικονομικά γενόσημα. Η </w:t>
      </w:r>
      <w:r>
        <w:rPr>
          <w:rFonts w:cstheme="minorHAnsi"/>
          <w:color w:val="000000"/>
        </w:rPr>
        <w:t>Novartis</w:t>
      </w:r>
      <w:r w:rsidRPr="003012B8">
        <w:rPr>
          <w:rFonts w:cstheme="minorHAnsi"/>
          <w:color w:val="000000"/>
          <w:lang w:val="el-GR"/>
        </w:rPr>
        <w:t xml:space="preserve"> είναι η μόνη πολυεθνική εταιρεία με ηγετικές θέσεις σε αυτούς τους τομείς. Το 2015, ο Όμιλος σημείωσε καθαρές πωλήσεις ύψους 49,4 δις δολαρίων ΗΠΑ, ενώ οι δαπάνες Έρευνας και Ανάπτυξης σε ολόκληρο τον Όμιλο ανήλθαν σε περίπου 8,9 δις δολάρια ΗΠΑ (8,7 δις δολάρια ΗΠΑ εάν αφαιρέσουμε τα έξοδα </w:t>
      </w:r>
      <w:proofErr w:type="spellStart"/>
      <w:r w:rsidRPr="003012B8">
        <w:rPr>
          <w:rFonts w:cstheme="minorHAnsi"/>
          <w:color w:val="000000"/>
          <w:lang w:val="el-GR"/>
        </w:rPr>
        <w:t>απομειώσεων</w:t>
      </w:r>
      <w:proofErr w:type="spellEnd"/>
      <w:r w:rsidRPr="003012B8">
        <w:rPr>
          <w:rFonts w:cstheme="minorHAnsi"/>
          <w:color w:val="000000"/>
          <w:lang w:val="el-GR"/>
        </w:rPr>
        <w:t xml:space="preserve"> και αποσβέσεων). Οι εταιρείες του Ομίλου </w:t>
      </w:r>
      <w:r>
        <w:rPr>
          <w:rFonts w:cstheme="minorHAnsi"/>
          <w:color w:val="000000"/>
        </w:rPr>
        <w:t>Novartis</w:t>
      </w:r>
      <w:r w:rsidRPr="003012B8">
        <w:rPr>
          <w:rFonts w:cstheme="minorHAnsi"/>
          <w:color w:val="000000"/>
          <w:lang w:val="el-GR"/>
        </w:rPr>
        <w:t xml:space="preserve"> απασχολούν περίπου 118.000 συνεργάτες πλήρους απασχόλησης. Τα προϊόντα της </w:t>
      </w:r>
      <w:r>
        <w:rPr>
          <w:rFonts w:cstheme="minorHAnsi"/>
          <w:color w:val="000000"/>
        </w:rPr>
        <w:t>Novartis</w:t>
      </w:r>
      <w:r w:rsidRPr="003012B8">
        <w:rPr>
          <w:rFonts w:cstheme="minorHAnsi"/>
          <w:color w:val="000000"/>
          <w:lang w:val="el-GR"/>
        </w:rPr>
        <w:t xml:space="preserve"> είναι διαθέσιμα σε πάνω από 180 χώρες σε όλο τον κόσμο. </w:t>
      </w:r>
      <w:r w:rsidRPr="003012B8">
        <w:rPr>
          <w:lang w:val="el-GR"/>
        </w:rPr>
        <w:t>Για περισσότερες πληροφορίες, επισκεφθείτε τη διεύθυνση</w:t>
      </w:r>
      <w:r w:rsidRPr="003012B8">
        <w:rPr>
          <w:rFonts w:cstheme="minorHAnsi"/>
          <w:color w:val="000000"/>
          <w:lang w:val="el-GR"/>
        </w:rPr>
        <w:t xml:space="preserve"> </w:t>
      </w:r>
      <w:hyperlink r:id="rId7">
        <w:r>
          <w:rPr>
            <w:rFonts w:cstheme="minorHAnsi"/>
            <w:color w:val="000000"/>
          </w:rPr>
          <w:t>http</w:t>
        </w:r>
        <w:r w:rsidRPr="003012B8">
          <w:rPr>
            <w:rFonts w:cstheme="minorHAnsi"/>
            <w:color w:val="000000"/>
            <w:lang w:val="el-GR"/>
          </w:rPr>
          <w:t>://</w:t>
        </w:r>
        <w:r>
          <w:rPr>
            <w:rFonts w:cstheme="minorHAnsi"/>
            <w:color w:val="000000"/>
          </w:rPr>
          <w:t>www</w:t>
        </w:r>
        <w:r w:rsidRPr="003012B8">
          <w:rPr>
            <w:rFonts w:cstheme="minorHAnsi"/>
            <w:color w:val="000000"/>
            <w:lang w:val="el-GR"/>
          </w:rPr>
          <w:t>.</w:t>
        </w:r>
        <w:proofErr w:type="spellStart"/>
        <w:r>
          <w:rPr>
            <w:rFonts w:cstheme="minorHAnsi"/>
            <w:color w:val="000000"/>
          </w:rPr>
          <w:t>novartis</w:t>
        </w:r>
        <w:proofErr w:type="spellEnd"/>
        <w:r w:rsidRPr="003012B8">
          <w:rPr>
            <w:rFonts w:cstheme="minorHAnsi"/>
            <w:color w:val="000000"/>
            <w:lang w:val="el-GR"/>
          </w:rPr>
          <w:t>.</w:t>
        </w:r>
        <w:r>
          <w:rPr>
            <w:rFonts w:cstheme="minorHAnsi"/>
            <w:color w:val="000000"/>
          </w:rPr>
          <w:t>com</w:t>
        </w:r>
      </w:hyperlink>
      <w:r w:rsidRPr="003012B8">
        <w:rPr>
          <w:rFonts w:cstheme="minorHAnsi"/>
          <w:color w:val="000000"/>
          <w:lang w:val="el-GR"/>
        </w:rPr>
        <w:t>.</w:t>
      </w:r>
    </w:p>
    <w:p w:rsidR="00E8162E" w:rsidRPr="003012B8" w:rsidRDefault="00E8162E" w:rsidP="00FC3BF8">
      <w:pPr>
        <w:autoSpaceDE w:val="0"/>
        <w:autoSpaceDN w:val="0"/>
        <w:adjustRightInd w:val="0"/>
        <w:jc w:val="both"/>
        <w:rPr>
          <w:rFonts w:cstheme="minorHAnsi"/>
          <w:lang w:val="el-GR"/>
        </w:rPr>
      </w:pPr>
    </w:p>
    <w:p w:rsidR="0047470D" w:rsidRPr="003012B8" w:rsidRDefault="0047470D" w:rsidP="00FC3BF8">
      <w:pPr>
        <w:jc w:val="both"/>
        <w:rPr>
          <w:lang w:val="el-GR"/>
        </w:rPr>
      </w:pPr>
      <w:r w:rsidRPr="003012B8">
        <w:rPr>
          <w:lang w:val="el-GR"/>
        </w:rPr>
        <w:t xml:space="preserve">Η </w:t>
      </w:r>
      <w:r>
        <w:t>Novartis</w:t>
      </w:r>
      <w:r w:rsidRPr="003012B8">
        <w:rPr>
          <w:lang w:val="el-GR"/>
        </w:rPr>
        <w:t xml:space="preserve"> βρίσκεται στο </w:t>
      </w:r>
      <w:r>
        <w:t>Twitter</w:t>
      </w:r>
      <w:r w:rsidRPr="003012B8">
        <w:rPr>
          <w:lang w:val="el-GR"/>
        </w:rPr>
        <w:t>. Εγγραφείτε για να ακολουθήσετε τη @</w:t>
      </w:r>
      <w:r>
        <w:t>Novartis</w:t>
      </w:r>
      <w:r w:rsidRPr="003012B8">
        <w:rPr>
          <w:lang w:val="el-GR"/>
        </w:rPr>
        <w:t xml:space="preserve"> στη διεύθυνση </w:t>
      </w:r>
      <w:hyperlink r:id="rId8">
        <w:r>
          <w:rPr>
            <w:color w:val="0460A9" w:themeColor="accent1"/>
          </w:rPr>
          <w:t>http</w:t>
        </w:r>
        <w:r w:rsidRPr="003012B8">
          <w:rPr>
            <w:color w:val="0460A9" w:themeColor="accent1"/>
            <w:lang w:val="el-GR"/>
          </w:rPr>
          <w:t>://</w:t>
        </w:r>
        <w:r>
          <w:rPr>
            <w:color w:val="0460A9" w:themeColor="accent1"/>
          </w:rPr>
          <w:t>twitter</w:t>
        </w:r>
        <w:r w:rsidRPr="003012B8">
          <w:rPr>
            <w:color w:val="0460A9" w:themeColor="accent1"/>
            <w:lang w:val="el-GR"/>
          </w:rPr>
          <w:t>.</w:t>
        </w:r>
        <w:r>
          <w:rPr>
            <w:color w:val="0460A9" w:themeColor="accent1"/>
          </w:rPr>
          <w:t>com</w:t>
        </w:r>
        <w:r w:rsidRPr="003012B8">
          <w:rPr>
            <w:color w:val="0460A9" w:themeColor="accent1"/>
            <w:lang w:val="el-GR"/>
          </w:rPr>
          <w:t>/</w:t>
        </w:r>
        <w:proofErr w:type="spellStart"/>
        <w:r>
          <w:rPr>
            <w:color w:val="0460A9" w:themeColor="accent1"/>
          </w:rPr>
          <w:t>novartis</w:t>
        </w:r>
        <w:proofErr w:type="spellEnd"/>
      </w:hyperlink>
    </w:p>
    <w:p w:rsidR="0047470D" w:rsidRPr="003012B8" w:rsidRDefault="0047470D" w:rsidP="00FC3BF8">
      <w:pPr>
        <w:jc w:val="both"/>
        <w:rPr>
          <w:lang w:val="el-GR"/>
        </w:rPr>
      </w:pPr>
      <w:r w:rsidRPr="003012B8">
        <w:rPr>
          <w:lang w:val="el-GR"/>
        </w:rPr>
        <w:t xml:space="preserve">Για περιεχόμενο πολυμέσων της </w:t>
      </w:r>
      <w:r>
        <w:t>Novartis</w:t>
      </w:r>
      <w:r w:rsidRPr="003012B8">
        <w:rPr>
          <w:lang w:val="el-GR"/>
        </w:rPr>
        <w:t xml:space="preserve">, επισκεφθείτε τη διεύθυνση </w:t>
      </w:r>
      <w:hyperlink r:id="rId9">
        <w:r>
          <w:rPr>
            <w:color w:val="0460A9" w:themeColor="accent1"/>
          </w:rPr>
          <w:t>www</w:t>
        </w:r>
        <w:r w:rsidRPr="003012B8">
          <w:rPr>
            <w:color w:val="0460A9" w:themeColor="accent1"/>
            <w:lang w:val="el-GR"/>
          </w:rPr>
          <w:t>.</w:t>
        </w:r>
        <w:proofErr w:type="spellStart"/>
        <w:r>
          <w:rPr>
            <w:color w:val="0460A9" w:themeColor="accent1"/>
          </w:rPr>
          <w:t>novartis</w:t>
        </w:r>
        <w:proofErr w:type="spellEnd"/>
        <w:r w:rsidRPr="003012B8">
          <w:rPr>
            <w:color w:val="0460A9" w:themeColor="accent1"/>
            <w:lang w:val="el-GR"/>
          </w:rPr>
          <w:t>.</w:t>
        </w:r>
        <w:r>
          <w:rPr>
            <w:color w:val="0460A9" w:themeColor="accent1"/>
          </w:rPr>
          <w:t>com</w:t>
        </w:r>
        <w:r w:rsidRPr="003012B8">
          <w:rPr>
            <w:color w:val="0460A9" w:themeColor="accent1"/>
            <w:lang w:val="el-GR"/>
          </w:rPr>
          <w:t>/</w:t>
        </w:r>
        <w:r>
          <w:rPr>
            <w:color w:val="0460A9" w:themeColor="accent1"/>
          </w:rPr>
          <w:t>news</w:t>
        </w:r>
        <w:r w:rsidRPr="003012B8">
          <w:rPr>
            <w:color w:val="0460A9" w:themeColor="accent1"/>
            <w:lang w:val="el-GR"/>
          </w:rPr>
          <w:t>/</w:t>
        </w:r>
        <w:r>
          <w:rPr>
            <w:color w:val="0460A9" w:themeColor="accent1"/>
          </w:rPr>
          <w:t>media</w:t>
        </w:r>
        <w:r w:rsidRPr="003012B8">
          <w:rPr>
            <w:color w:val="0460A9" w:themeColor="accent1"/>
            <w:lang w:val="el-GR"/>
          </w:rPr>
          <w:t>-</w:t>
        </w:r>
        <w:r>
          <w:rPr>
            <w:color w:val="0460A9" w:themeColor="accent1"/>
          </w:rPr>
          <w:t>library</w:t>
        </w:r>
      </w:hyperlink>
    </w:p>
    <w:p w:rsidR="0047470D" w:rsidRPr="003012B8" w:rsidRDefault="0047470D" w:rsidP="00FC3BF8">
      <w:pPr>
        <w:jc w:val="both"/>
        <w:rPr>
          <w:spacing w:val="-5"/>
          <w:lang w:val="el-GR"/>
        </w:rPr>
      </w:pPr>
      <w:r w:rsidRPr="003012B8">
        <w:rPr>
          <w:lang w:val="el-GR"/>
        </w:rPr>
        <w:t xml:space="preserve">Για ερωτήσεις σχετικά με τον </w:t>
      </w:r>
      <w:proofErr w:type="spellStart"/>
      <w:r w:rsidRPr="003012B8">
        <w:rPr>
          <w:lang w:val="el-GR"/>
        </w:rPr>
        <w:t>ιστότοπο</w:t>
      </w:r>
      <w:proofErr w:type="spellEnd"/>
      <w:r w:rsidRPr="003012B8">
        <w:rPr>
          <w:lang w:val="el-GR"/>
        </w:rPr>
        <w:t xml:space="preserve"> ή την απαιτούμενη εγγραφή, επικοινωνήστε μαζί μας στο </w:t>
      </w:r>
      <w:r>
        <w:t>email</w:t>
      </w:r>
      <w:r w:rsidRPr="003012B8">
        <w:rPr>
          <w:lang w:val="el-GR"/>
        </w:rPr>
        <w:t xml:space="preserve"> </w:t>
      </w:r>
      <w:hyperlink r:id="rId10">
        <w:r>
          <w:rPr>
            <w:color w:val="0460A9" w:themeColor="accent1"/>
            <w:spacing w:val="-5"/>
          </w:rPr>
          <w:t>media</w:t>
        </w:r>
        <w:r w:rsidRPr="003012B8">
          <w:rPr>
            <w:color w:val="0460A9" w:themeColor="accent1"/>
            <w:spacing w:val="-5"/>
            <w:lang w:val="el-GR"/>
          </w:rPr>
          <w:t>.</w:t>
        </w:r>
        <w:r>
          <w:rPr>
            <w:color w:val="0460A9" w:themeColor="accent1"/>
            <w:spacing w:val="-5"/>
          </w:rPr>
          <w:t>relations</w:t>
        </w:r>
        <w:r w:rsidRPr="003012B8">
          <w:rPr>
            <w:color w:val="0460A9" w:themeColor="accent1"/>
            <w:spacing w:val="-5"/>
            <w:lang w:val="el-GR"/>
          </w:rPr>
          <w:t>@</w:t>
        </w:r>
        <w:proofErr w:type="spellStart"/>
        <w:r>
          <w:rPr>
            <w:color w:val="0460A9" w:themeColor="accent1"/>
            <w:spacing w:val="-5"/>
          </w:rPr>
          <w:t>novartis</w:t>
        </w:r>
        <w:proofErr w:type="spellEnd"/>
        <w:r w:rsidRPr="003012B8">
          <w:rPr>
            <w:color w:val="0460A9" w:themeColor="accent1"/>
            <w:spacing w:val="-5"/>
            <w:lang w:val="el-GR"/>
          </w:rPr>
          <w:t>.</w:t>
        </w:r>
        <w:r>
          <w:rPr>
            <w:color w:val="0460A9" w:themeColor="accent1"/>
            <w:spacing w:val="-5"/>
          </w:rPr>
          <w:t>com</w:t>
        </w:r>
      </w:hyperlink>
    </w:p>
    <w:p w:rsidR="0047470D" w:rsidRPr="003012B8" w:rsidRDefault="0047470D" w:rsidP="00FC3BF8">
      <w:pPr>
        <w:jc w:val="both"/>
        <w:rPr>
          <w:lang w:val="el-GR"/>
        </w:rPr>
      </w:pPr>
    </w:p>
    <w:p w:rsidR="00F52BCC" w:rsidRPr="003012B8" w:rsidRDefault="00F52BCC" w:rsidP="00FC3BF8">
      <w:pPr>
        <w:jc w:val="both"/>
        <w:rPr>
          <w:lang w:val="el-GR"/>
        </w:rPr>
      </w:pPr>
      <w:bookmarkStart w:id="0" w:name="_GoBack"/>
      <w:bookmarkEnd w:id="0"/>
    </w:p>
    <w:p w:rsidR="00441BD7" w:rsidRPr="00441BD7" w:rsidRDefault="00E8162E" w:rsidP="00FC3BF8">
      <w:pPr>
        <w:jc w:val="both"/>
        <w:rPr>
          <w:rFonts w:asciiTheme="majorHAnsi" w:hAnsiTheme="majorHAnsi" w:cstheme="majorHAnsi"/>
          <w:b/>
          <w:color w:val="000000"/>
        </w:rPr>
      </w:pPr>
      <w:r>
        <w:rPr>
          <w:rFonts w:asciiTheme="majorHAnsi" w:hAnsiTheme="majorHAnsi" w:cstheme="majorHAnsi"/>
          <w:b/>
          <w:color w:val="000000"/>
        </w:rPr>
        <w:t>Παραπ</w:t>
      </w:r>
      <w:proofErr w:type="spellStart"/>
      <w:r>
        <w:rPr>
          <w:rFonts w:asciiTheme="majorHAnsi" w:hAnsiTheme="majorHAnsi" w:cstheme="majorHAnsi"/>
          <w:b/>
          <w:color w:val="000000"/>
        </w:rPr>
        <w:t>ομ</w:t>
      </w:r>
      <w:proofErr w:type="spellEnd"/>
      <w:r>
        <w:rPr>
          <w:rFonts w:asciiTheme="majorHAnsi" w:hAnsiTheme="majorHAnsi" w:cstheme="majorHAnsi"/>
          <w:b/>
          <w:color w:val="000000"/>
        </w:rPr>
        <w:t>πές</w:t>
      </w:r>
    </w:p>
    <w:p w:rsidR="00840D11" w:rsidRPr="0039162D" w:rsidRDefault="00840D11" w:rsidP="00FC3BF8">
      <w:pPr>
        <w:pStyle w:val="ListParagraph"/>
        <w:numPr>
          <w:ilvl w:val="0"/>
          <w:numId w:val="9"/>
        </w:numPr>
        <w:jc w:val="both"/>
        <w:rPr>
          <w:rFonts w:cstheme="minorHAnsi"/>
          <w:snapToGrid w:val="0"/>
          <w:sz w:val="16"/>
        </w:rPr>
      </w:pPr>
      <w:proofErr w:type="spellStart"/>
      <w:r w:rsidRPr="0039162D">
        <w:rPr>
          <w:rFonts w:cstheme="minorHAnsi"/>
          <w:snapToGrid w:val="0"/>
          <w:sz w:val="16"/>
        </w:rPr>
        <w:t>Kappos</w:t>
      </w:r>
      <w:proofErr w:type="spellEnd"/>
      <w:r w:rsidRPr="0039162D">
        <w:rPr>
          <w:rFonts w:cstheme="minorHAnsi"/>
          <w:snapToGrid w:val="0"/>
          <w:sz w:val="16"/>
        </w:rPr>
        <w:t xml:space="preserve"> L et al. Efficacy and safety of </w:t>
      </w:r>
      <w:proofErr w:type="spellStart"/>
      <w:r w:rsidRPr="0039162D">
        <w:rPr>
          <w:rFonts w:cstheme="minorHAnsi"/>
          <w:snapToGrid w:val="0"/>
          <w:sz w:val="16"/>
        </w:rPr>
        <w:t>siponimod</w:t>
      </w:r>
      <w:proofErr w:type="spellEnd"/>
      <w:r w:rsidRPr="0039162D">
        <w:rPr>
          <w:rFonts w:cstheme="minorHAnsi"/>
          <w:snapToGrid w:val="0"/>
          <w:sz w:val="16"/>
        </w:rPr>
        <w:t xml:space="preserve"> in secondary progressive multiple sclerosis – Results of the placebo controlled, double-blind, Phase III EXPAND study. Oral presentation presented at: 32nd Congress of the European Committee for Treatment and Research in Multiple Sclerosis; September 14-17, 2016; London, UK. </w:t>
      </w:r>
    </w:p>
    <w:p w:rsidR="00F2475B" w:rsidRPr="00B87FA1" w:rsidRDefault="00F2475B" w:rsidP="00FC3BF8">
      <w:pPr>
        <w:pStyle w:val="ListParagraph"/>
        <w:numPr>
          <w:ilvl w:val="0"/>
          <w:numId w:val="9"/>
        </w:numPr>
        <w:jc w:val="both"/>
        <w:rPr>
          <w:rFonts w:cstheme="minorHAnsi"/>
          <w:snapToGrid w:val="0"/>
          <w:sz w:val="16"/>
        </w:rPr>
      </w:pPr>
      <w:r w:rsidRPr="0039162D">
        <w:rPr>
          <w:rFonts w:cstheme="minorHAnsi"/>
          <w:snapToGrid w:val="0"/>
          <w:sz w:val="16"/>
        </w:rPr>
        <w:t xml:space="preserve">MS Society. Secondary Progressive MS. </w:t>
      </w:r>
      <w:hyperlink r:id="rId11">
        <w:r w:rsidRPr="0039162D">
          <w:rPr>
            <w:rStyle w:val="Hyperlink"/>
            <w:rFonts w:cstheme="minorHAnsi"/>
            <w:snapToGrid w:val="0"/>
            <w:sz w:val="16"/>
          </w:rPr>
          <w:t>http://www.mssociety.org.uk/what-is-ms/types-of-ms/secondary-progressive-spms</w:t>
        </w:r>
      </w:hyperlink>
      <w:r w:rsidRPr="0039162D">
        <w:rPr>
          <w:rFonts w:cstheme="minorHAnsi"/>
          <w:snapToGrid w:val="0"/>
          <w:sz w:val="16"/>
        </w:rPr>
        <w:t xml:space="preserve"> </w:t>
      </w:r>
      <w:r w:rsidRPr="004E1DDD">
        <w:rPr>
          <w:rFonts w:cstheme="minorHAnsi"/>
          <w:snapToGrid w:val="0"/>
          <w:sz w:val="16"/>
        </w:rPr>
        <w:t>(link is external).</w:t>
      </w:r>
      <w:r w:rsidRPr="0039162D">
        <w:rPr>
          <w:rFonts w:cstheme="minorHAnsi"/>
          <w:snapToGrid w:val="0"/>
          <w:sz w:val="16"/>
        </w:rPr>
        <w:t xml:space="preserve"> </w:t>
      </w:r>
      <w:r w:rsidRPr="00B87FA1">
        <w:rPr>
          <w:rFonts w:cstheme="minorHAnsi"/>
          <w:snapToGrid w:val="0"/>
          <w:sz w:val="16"/>
        </w:rPr>
        <w:t>Accessed August 2016.</w:t>
      </w:r>
    </w:p>
    <w:p w:rsidR="00441BD7" w:rsidRPr="005233E9" w:rsidRDefault="00441BD7" w:rsidP="00FC3BF8">
      <w:pPr>
        <w:numPr>
          <w:ilvl w:val="0"/>
          <w:numId w:val="9"/>
        </w:numPr>
        <w:jc w:val="both"/>
        <w:rPr>
          <w:rFonts w:cstheme="minorHAnsi"/>
          <w:snapToGrid w:val="0"/>
          <w:sz w:val="16"/>
        </w:rPr>
      </w:pPr>
      <w:proofErr w:type="spellStart"/>
      <w:r w:rsidRPr="0039162D">
        <w:rPr>
          <w:rFonts w:cstheme="minorHAnsi"/>
          <w:snapToGrid w:val="0"/>
          <w:sz w:val="16"/>
        </w:rPr>
        <w:t>Gergely</w:t>
      </w:r>
      <w:proofErr w:type="spellEnd"/>
      <w:r w:rsidRPr="0039162D">
        <w:rPr>
          <w:rFonts w:cstheme="minorHAnsi"/>
          <w:snapToGrid w:val="0"/>
          <w:sz w:val="16"/>
        </w:rPr>
        <w:t xml:space="preserve"> P et al. The selective sphingosine 1-phosphate receptor modulator BAF312 redirects lymphocyte distribution and has species-specific effects on heart rate. </w:t>
      </w:r>
      <w:r>
        <w:rPr>
          <w:rFonts w:cstheme="minorHAnsi"/>
          <w:snapToGrid w:val="0"/>
          <w:sz w:val="16"/>
        </w:rPr>
        <w:t xml:space="preserve">Br J </w:t>
      </w:r>
      <w:proofErr w:type="spellStart"/>
      <w:r>
        <w:rPr>
          <w:rFonts w:cstheme="minorHAnsi"/>
          <w:snapToGrid w:val="0"/>
          <w:sz w:val="16"/>
        </w:rPr>
        <w:t>Pharmacol</w:t>
      </w:r>
      <w:proofErr w:type="spellEnd"/>
      <w:r>
        <w:rPr>
          <w:rFonts w:cstheme="minorHAnsi"/>
          <w:snapToGrid w:val="0"/>
          <w:sz w:val="16"/>
        </w:rPr>
        <w:t xml:space="preserve"> 2012; 167(5):1035-47.</w:t>
      </w:r>
    </w:p>
    <w:p w:rsidR="00F52BCC" w:rsidRPr="00B87FA1" w:rsidRDefault="00F52BCC" w:rsidP="00FC3BF8">
      <w:pPr>
        <w:pStyle w:val="ListParagraph"/>
        <w:numPr>
          <w:ilvl w:val="0"/>
          <w:numId w:val="9"/>
        </w:numPr>
        <w:jc w:val="both"/>
        <w:rPr>
          <w:rFonts w:cstheme="minorHAnsi"/>
          <w:snapToGrid w:val="0"/>
          <w:sz w:val="16"/>
        </w:rPr>
      </w:pPr>
      <w:proofErr w:type="spellStart"/>
      <w:r w:rsidRPr="0039162D">
        <w:rPr>
          <w:rFonts w:cstheme="minorHAnsi"/>
          <w:snapToGrid w:val="0"/>
          <w:sz w:val="16"/>
        </w:rPr>
        <w:lastRenderedPageBreak/>
        <w:t>Kappos</w:t>
      </w:r>
      <w:proofErr w:type="spellEnd"/>
      <w:r w:rsidRPr="0039162D">
        <w:rPr>
          <w:rFonts w:cstheme="minorHAnsi"/>
          <w:snapToGrid w:val="0"/>
          <w:sz w:val="16"/>
        </w:rPr>
        <w:t xml:space="preserve"> L et al. Baseline Subgroup Characteristics of EXPAND: A Phase 3 Study of </w:t>
      </w:r>
      <w:proofErr w:type="spellStart"/>
      <w:r w:rsidRPr="0039162D">
        <w:rPr>
          <w:rFonts w:cstheme="minorHAnsi"/>
          <w:snapToGrid w:val="0"/>
          <w:sz w:val="16"/>
        </w:rPr>
        <w:t>Siponimod</w:t>
      </w:r>
      <w:proofErr w:type="spellEnd"/>
      <w:r w:rsidRPr="0039162D">
        <w:rPr>
          <w:rFonts w:cstheme="minorHAnsi"/>
          <w:snapToGrid w:val="0"/>
          <w:sz w:val="16"/>
        </w:rPr>
        <w:t xml:space="preserve"> (BAF312) for the Treatment of Secondary Progressive Multiple Sclerosis (P3.084). </w:t>
      </w:r>
      <w:r w:rsidRPr="00B87FA1">
        <w:rPr>
          <w:rFonts w:cstheme="minorHAnsi"/>
          <w:snapToGrid w:val="0"/>
          <w:sz w:val="16"/>
        </w:rPr>
        <w:t>Neurology. 2016; 86(16):suppl. P3.084</w:t>
      </w:r>
    </w:p>
    <w:p w:rsidR="00441BD7" w:rsidRPr="00441BD7" w:rsidRDefault="00840D11" w:rsidP="00FC3BF8">
      <w:pPr>
        <w:numPr>
          <w:ilvl w:val="0"/>
          <w:numId w:val="9"/>
        </w:numPr>
        <w:jc w:val="both"/>
        <w:rPr>
          <w:rFonts w:cstheme="minorHAnsi"/>
          <w:snapToGrid w:val="0"/>
          <w:sz w:val="16"/>
        </w:rPr>
      </w:pPr>
      <w:r w:rsidRPr="0039162D">
        <w:rPr>
          <w:rFonts w:cstheme="minorHAnsi"/>
          <w:snapToGrid w:val="0"/>
          <w:sz w:val="16"/>
        </w:rPr>
        <w:t xml:space="preserve">ClinicalTrials.gov. Exploring the Efficacy and Safety of </w:t>
      </w:r>
      <w:proofErr w:type="spellStart"/>
      <w:r w:rsidRPr="0039162D">
        <w:rPr>
          <w:rFonts w:cstheme="minorHAnsi"/>
          <w:snapToGrid w:val="0"/>
          <w:sz w:val="16"/>
        </w:rPr>
        <w:t>Siponimod</w:t>
      </w:r>
      <w:proofErr w:type="spellEnd"/>
      <w:r w:rsidRPr="0039162D">
        <w:rPr>
          <w:rFonts w:cstheme="minorHAnsi"/>
          <w:snapToGrid w:val="0"/>
          <w:sz w:val="16"/>
        </w:rPr>
        <w:t xml:space="preserve"> in Patients With Secondary Progressive Multiple Sclerosis (EXPAND). </w:t>
      </w:r>
      <w:hyperlink r:id="rId12">
        <w:r w:rsidRPr="0039162D">
          <w:rPr>
            <w:rStyle w:val="Hyperlink"/>
            <w:rFonts w:cstheme="minorHAnsi"/>
            <w:snapToGrid w:val="0"/>
            <w:sz w:val="16"/>
          </w:rPr>
          <w:t>https://clinicaltrials.gov/ct2/show/NCT01665144?term=BAF312+expand&amp;rank=1</w:t>
        </w:r>
      </w:hyperlink>
      <w:r w:rsidRPr="0039162D">
        <w:rPr>
          <w:rFonts w:cstheme="minorHAnsi"/>
          <w:snapToGrid w:val="0"/>
          <w:sz w:val="16"/>
        </w:rPr>
        <w:t xml:space="preserve"> (link is external). </w:t>
      </w:r>
      <w:r>
        <w:rPr>
          <w:rFonts w:cstheme="minorHAnsi"/>
          <w:snapToGrid w:val="0"/>
          <w:sz w:val="16"/>
        </w:rPr>
        <w:t>Accessed July 2016.</w:t>
      </w:r>
    </w:p>
    <w:p w:rsidR="00773842" w:rsidRDefault="00BA40E3" w:rsidP="00FC3BF8">
      <w:pPr>
        <w:numPr>
          <w:ilvl w:val="0"/>
          <w:numId w:val="9"/>
        </w:numPr>
        <w:jc w:val="both"/>
        <w:rPr>
          <w:rFonts w:cstheme="minorHAnsi"/>
          <w:snapToGrid w:val="0"/>
          <w:sz w:val="16"/>
        </w:rPr>
      </w:pPr>
      <w:r w:rsidRPr="0039162D">
        <w:rPr>
          <w:rFonts w:cstheme="minorHAnsi"/>
          <w:snapToGrid w:val="0"/>
          <w:sz w:val="16"/>
        </w:rPr>
        <w:t xml:space="preserve">MS Trust. Expanded Disability Status Scale. </w:t>
      </w:r>
      <w:hyperlink r:id="rId13">
        <w:r w:rsidRPr="0039162D">
          <w:rPr>
            <w:rFonts w:cstheme="minorHAnsi"/>
            <w:snapToGrid w:val="0"/>
            <w:sz w:val="16"/>
          </w:rPr>
          <w:t>https://www.mstrust.org.uk/a-z/expanded-disability-status-scale-edss</w:t>
        </w:r>
      </w:hyperlink>
      <w:r w:rsidRPr="0039162D">
        <w:rPr>
          <w:rFonts w:cstheme="minorHAnsi"/>
          <w:snapToGrid w:val="0"/>
          <w:sz w:val="16"/>
        </w:rPr>
        <w:t xml:space="preserve"> (Link is external). </w:t>
      </w:r>
      <w:r>
        <w:rPr>
          <w:rFonts w:cstheme="minorHAnsi"/>
          <w:snapToGrid w:val="0"/>
          <w:sz w:val="16"/>
        </w:rPr>
        <w:t>Accessed September 2016.</w:t>
      </w:r>
    </w:p>
    <w:p w:rsidR="00773842" w:rsidRPr="00B87FA1" w:rsidRDefault="00D27442" w:rsidP="00FC3BF8">
      <w:pPr>
        <w:numPr>
          <w:ilvl w:val="0"/>
          <w:numId w:val="9"/>
        </w:numPr>
        <w:jc w:val="both"/>
        <w:rPr>
          <w:rFonts w:cstheme="minorHAnsi"/>
          <w:snapToGrid w:val="0"/>
          <w:sz w:val="16"/>
        </w:rPr>
      </w:pPr>
      <w:r w:rsidRPr="006577C0">
        <w:rPr>
          <w:rFonts w:cstheme="minorHAnsi"/>
          <w:snapToGrid w:val="0"/>
          <w:sz w:val="16"/>
          <w:lang w:val="de-DE"/>
        </w:rPr>
        <w:t xml:space="preserve">Brinkmann V, Billich A, Baumruker T, et al. </w:t>
      </w:r>
      <w:proofErr w:type="spellStart"/>
      <w:r w:rsidRPr="0039162D">
        <w:rPr>
          <w:rFonts w:cstheme="minorHAnsi"/>
          <w:snapToGrid w:val="0"/>
          <w:sz w:val="16"/>
        </w:rPr>
        <w:t>Fingolimod</w:t>
      </w:r>
      <w:proofErr w:type="spellEnd"/>
      <w:r w:rsidRPr="0039162D">
        <w:rPr>
          <w:rFonts w:cstheme="minorHAnsi"/>
          <w:snapToGrid w:val="0"/>
          <w:sz w:val="16"/>
        </w:rPr>
        <w:t xml:space="preserve"> (FTY720): discovery and development of an oral drug to treat multiple sclerosis. </w:t>
      </w:r>
      <w:r w:rsidRPr="00B87FA1">
        <w:rPr>
          <w:rFonts w:cstheme="minorHAnsi"/>
          <w:snapToGrid w:val="0"/>
          <w:sz w:val="16"/>
        </w:rPr>
        <w:t xml:space="preserve">Nat Rev Drug </w:t>
      </w:r>
      <w:proofErr w:type="spellStart"/>
      <w:r w:rsidRPr="00B87FA1">
        <w:rPr>
          <w:rFonts w:cstheme="minorHAnsi"/>
          <w:snapToGrid w:val="0"/>
          <w:sz w:val="16"/>
        </w:rPr>
        <w:t>Discov</w:t>
      </w:r>
      <w:proofErr w:type="spellEnd"/>
      <w:r w:rsidRPr="00B87FA1">
        <w:rPr>
          <w:rFonts w:cstheme="minorHAnsi"/>
          <w:snapToGrid w:val="0"/>
          <w:sz w:val="16"/>
        </w:rPr>
        <w:t xml:space="preserve"> 2010; 9(11): 883-97.</w:t>
      </w:r>
    </w:p>
    <w:p w:rsidR="00773842" w:rsidRPr="00B87FA1" w:rsidRDefault="00773842" w:rsidP="00FC3BF8">
      <w:pPr>
        <w:numPr>
          <w:ilvl w:val="0"/>
          <w:numId w:val="9"/>
        </w:numPr>
        <w:jc w:val="both"/>
        <w:rPr>
          <w:rFonts w:cstheme="minorHAnsi"/>
          <w:snapToGrid w:val="0"/>
          <w:sz w:val="16"/>
        </w:rPr>
      </w:pPr>
      <w:r w:rsidRPr="0039162D">
        <w:rPr>
          <w:rFonts w:cstheme="minorHAnsi"/>
          <w:snapToGrid w:val="0"/>
          <w:sz w:val="16"/>
        </w:rPr>
        <w:t xml:space="preserve">Chun J, </w:t>
      </w:r>
      <w:proofErr w:type="spellStart"/>
      <w:r w:rsidRPr="0039162D">
        <w:rPr>
          <w:rFonts w:cstheme="minorHAnsi"/>
          <w:snapToGrid w:val="0"/>
          <w:sz w:val="16"/>
        </w:rPr>
        <w:t>Hartung</w:t>
      </w:r>
      <w:proofErr w:type="spellEnd"/>
      <w:r w:rsidRPr="0039162D">
        <w:rPr>
          <w:rFonts w:cstheme="minorHAnsi"/>
          <w:snapToGrid w:val="0"/>
          <w:sz w:val="16"/>
        </w:rPr>
        <w:t xml:space="preserve"> HP. Mechanism of action of oral </w:t>
      </w:r>
      <w:proofErr w:type="spellStart"/>
      <w:r w:rsidRPr="0039162D">
        <w:rPr>
          <w:rFonts w:cstheme="minorHAnsi"/>
          <w:snapToGrid w:val="0"/>
          <w:sz w:val="16"/>
        </w:rPr>
        <w:t>fingolimod</w:t>
      </w:r>
      <w:proofErr w:type="spellEnd"/>
      <w:r w:rsidRPr="0039162D">
        <w:rPr>
          <w:rFonts w:cstheme="minorHAnsi"/>
          <w:snapToGrid w:val="0"/>
          <w:sz w:val="16"/>
        </w:rPr>
        <w:t xml:space="preserve"> (FTY720) in multiple sclerosis. </w:t>
      </w:r>
      <w:proofErr w:type="spellStart"/>
      <w:r w:rsidRPr="00B87FA1">
        <w:rPr>
          <w:rFonts w:cstheme="minorHAnsi"/>
          <w:snapToGrid w:val="0"/>
          <w:sz w:val="16"/>
        </w:rPr>
        <w:t>Clin</w:t>
      </w:r>
      <w:proofErr w:type="spellEnd"/>
      <w:r w:rsidRPr="00B87FA1">
        <w:rPr>
          <w:rFonts w:cstheme="minorHAnsi"/>
          <w:snapToGrid w:val="0"/>
          <w:sz w:val="16"/>
        </w:rPr>
        <w:t xml:space="preserve"> </w:t>
      </w:r>
      <w:proofErr w:type="spellStart"/>
      <w:r w:rsidRPr="00B87FA1">
        <w:rPr>
          <w:rFonts w:cstheme="minorHAnsi"/>
          <w:snapToGrid w:val="0"/>
          <w:sz w:val="16"/>
        </w:rPr>
        <w:t>Neuropharmacol</w:t>
      </w:r>
      <w:proofErr w:type="spellEnd"/>
      <w:r w:rsidRPr="00B87FA1">
        <w:rPr>
          <w:rFonts w:cstheme="minorHAnsi"/>
          <w:snapToGrid w:val="0"/>
          <w:sz w:val="16"/>
        </w:rPr>
        <w:t xml:space="preserve"> 2010; 33(2): 91-101.</w:t>
      </w:r>
    </w:p>
    <w:p w:rsidR="00F810A4" w:rsidRPr="00B87FA1" w:rsidRDefault="00F810A4" w:rsidP="00FC3BF8">
      <w:pPr>
        <w:numPr>
          <w:ilvl w:val="0"/>
          <w:numId w:val="9"/>
        </w:numPr>
        <w:jc w:val="both"/>
        <w:rPr>
          <w:rFonts w:cstheme="minorHAnsi"/>
          <w:snapToGrid w:val="0"/>
          <w:sz w:val="16"/>
        </w:rPr>
      </w:pPr>
      <w:proofErr w:type="spellStart"/>
      <w:r w:rsidRPr="0039162D">
        <w:rPr>
          <w:rFonts w:cstheme="minorHAnsi"/>
          <w:snapToGrid w:val="0"/>
          <w:sz w:val="16"/>
        </w:rPr>
        <w:t>Aslanis</w:t>
      </w:r>
      <w:proofErr w:type="spellEnd"/>
      <w:r w:rsidRPr="0039162D">
        <w:rPr>
          <w:rFonts w:cstheme="minorHAnsi"/>
          <w:snapToGrid w:val="0"/>
          <w:sz w:val="16"/>
        </w:rPr>
        <w:t xml:space="preserve"> V et al. </w:t>
      </w:r>
      <w:proofErr w:type="spellStart"/>
      <w:r w:rsidRPr="0039162D">
        <w:rPr>
          <w:rFonts w:cstheme="minorHAnsi"/>
          <w:snapToGrid w:val="0"/>
          <w:sz w:val="16"/>
        </w:rPr>
        <w:t>Siponimod</w:t>
      </w:r>
      <w:proofErr w:type="spellEnd"/>
      <w:r w:rsidRPr="0039162D">
        <w:rPr>
          <w:rFonts w:cstheme="minorHAnsi"/>
          <w:snapToGrid w:val="0"/>
          <w:sz w:val="16"/>
        </w:rPr>
        <w:t xml:space="preserve"> (BAF312) (and/or its metabolites) penetrates into the CNS and distributes to white matter areas. </w:t>
      </w:r>
      <w:proofErr w:type="spellStart"/>
      <w:r w:rsidRPr="00B87FA1">
        <w:rPr>
          <w:rFonts w:cstheme="minorHAnsi"/>
          <w:snapToGrid w:val="0"/>
          <w:sz w:val="16"/>
        </w:rPr>
        <w:t>Mult</w:t>
      </w:r>
      <w:proofErr w:type="spellEnd"/>
      <w:r w:rsidRPr="00B87FA1">
        <w:rPr>
          <w:rFonts w:cstheme="minorHAnsi"/>
          <w:snapToGrid w:val="0"/>
          <w:sz w:val="16"/>
        </w:rPr>
        <w:t xml:space="preserve"> </w:t>
      </w:r>
      <w:proofErr w:type="spellStart"/>
      <w:r w:rsidRPr="00B87FA1">
        <w:rPr>
          <w:rFonts w:cstheme="minorHAnsi"/>
          <w:snapToGrid w:val="0"/>
          <w:sz w:val="16"/>
        </w:rPr>
        <w:t>Scler</w:t>
      </w:r>
      <w:proofErr w:type="spellEnd"/>
      <w:r w:rsidRPr="00B87FA1">
        <w:rPr>
          <w:rFonts w:cstheme="minorHAnsi"/>
          <w:snapToGrid w:val="0"/>
          <w:sz w:val="16"/>
        </w:rPr>
        <w:t xml:space="preserve"> J 2012; 18(10(</w:t>
      </w:r>
      <w:proofErr w:type="spellStart"/>
      <w:r w:rsidRPr="00B87FA1">
        <w:rPr>
          <w:rFonts w:cstheme="minorHAnsi"/>
          <w:snapToGrid w:val="0"/>
          <w:sz w:val="16"/>
        </w:rPr>
        <w:t>suppl</w:t>
      </w:r>
      <w:proofErr w:type="spellEnd"/>
      <w:r w:rsidRPr="00B87FA1">
        <w:rPr>
          <w:rFonts w:cstheme="minorHAnsi"/>
          <w:snapToGrid w:val="0"/>
          <w:sz w:val="16"/>
        </w:rPr>
        <w:t>)): P792.</w:t>
      </w:r>
    </w:p>
    <w:p w:rsidR="00F810A4" w:rsidRPr="00B87FA1" w:rsidRDefault="00F810A4" w:rsidP="00FC3BF8">
      <w:pPr>
        <w:numPr>
          <w:ilvl w:val="0"/>
          <w:numId w:val="9"/>
        </w:numPr>
        <w:jc w:val="both"/>
        <w:rPr>
          <w:rFonts w:cstheme="minorHAnsi"/>
          <w:snapToGrid w:val="0"/>
          <w:sz w:val="16"/>
        </w:rPr>
      </w:pPr>
      <w:proofErr w:type="spellStart"/>
      <w:r w:rsidRPr="0039162D">
        <w:rPr>
          <w:rFonts w:cstheme="minorHAnsi"/>
          <w:snapToGrid w:val="0"/>
          <w:sz w:val="16"/>
        </w:rPr>
        <w:t>Brana</w:t>
      </w:r>
      <w:proofErr w:type="spellEnd"/>
      <w:r w:rsidRPr="0039162D">
        <w:rPr>
          <w:rFonts w:cstheme="minorHAnsi"/>
          <w:snapToGrid w:val="0"/>
          <w:sz w:val="16"/>
        </w:rPr>
        <w:t xml:space="preserve"> C et al. </w:t>
      </w:r>
      <w:proofErr w:type="spellStart"/>
      <w:r w:rsidRPr="0039162D">
        <w:rPr>
          <w:rFonts w:cstheme="minorHAnsi"/>
          <w:snapToGrid w:val="0"/>
          <w:sz w:val="16"/>
        </w:rPr>
        <w:t>Immunohistochemical</w:t>
      </w:r>
      <w:proofErr w:type="spellEnd"/>
      <w:r w:rsidRPr="0039162D">
        <w:rPr>
          <w:rFonts w:cstheme="minorHAnsi"/>
          <w:snapToGrid w:val="0"/>
          <w:sz w:val="16"/>
        </w:rPr>
        <w:t xml:space="preserve"> detection of sphingosine-1-phosphate receptor 1 and 5 in human multiple sclerosis lesions. </w:t>
      </w:r>
      <w:proofErr w:type="spellStart"/>
      <w:r w:rsidRPr="00B87FA1">
        <w:rPr>
          <w:rFonts w:cstheme="minorHAnsi"/>
          <w:snapToGrid w:val="0"/>
          <w:sz w:val="16"/>
        </w:rPr>
        <w:t>Neuropathol</w:t>
      </w:r>
      <w:proofErr w:type="spellEnd"/>
      <w:r w:rsidRPr="00B87FA1">
        <w:rPr>
          <w:rFonts w:cstheme="minorHAnsi"/>
          <w:snapToGrid w:val="0"/>
          <w:sz w:val="16"/>
        </w:rPr>
        <w:t xml:space="preserve"> </w:t>
      </w:r>
      <w:proofErr w:type="spellStart"/>
      <w:r w:rsidRPr="00B87FA1">
        <w:rPr>
          <w:rFonts w:cstheme="minorHAnsi"/>
          <w:snapToGrid w:val="0"/>
          <w:sz w:val="16"/>
        </w:rPr>
        <w:t>Appl</w:t>
      </w:r>
      <w:proofErr w:type="spellEnd"/>
      <w:r w:rsidRPr="00B87FA1">
        <w:rPr>
          <w:rFonts w:cstheme="minorHAnsi"/>
          <w:snapToGrid w:val="0"/>
          <w:sz w:val="16"/>
        </w:rPr>
        <w:t xml:space="preserve"> </w:t>
      </w:r>
      <w:proofErr w:type="spellStart"/>
      <w:r w:rsidRPr="00B87FA1">
        <w:rPr>
          <w:rFonts w:cstheme="minorHAnsi"/>
          <w:snapToGrid w:val="0"/>
          <w:sz w:val="16"/>
        </w:rPr>
        <w:t>Neurobiol</w:t>
      </w:r>
      <w:proofErr w:type="spellEnd"/>
      <w:r w:rsidRPr="00B87FA1">
        <w:rPr>
          <w:rFonts w:cstheme="minorHAnsi"/>
          <w:snapToGrid w:val="0"/>
          <w:sz w:val="16"/>
        </w:rPr>
        <w:t xml:space="preserve"> 2014; 40(5): 564-78.</w:t>
      </w:r>
    </w:p>
    <w:p w:rsidR="00F810A4" w:rsidRPr="00B87FA1" w:rsidRDefault="00F810A4" w:rsidP="00FC3BF8">
      <w:pPr>
        <w:numPr>
          <w:ilvl w:val="0"/>
          <w:numId w:val="9"/>
        </w:numPr>
        <w:jc w:val="both"/>
        <w:rPr>
          <w:rFonts w:cstheme="minorHAnsi"/>
          <w:snapToGrid w:val="0"/>
          <w:sz w:val="16"/>
        </w:rPr>
      </w:pPr>
      <w:r w:rsidRPr="0039162D">
        <w:rPr>
          <w:rFonts w:cstheme="minorHAnsi"/>
          <w:snapToGrid w:val="0"/>
          <w:sz w:val="16"/>
        </w:rPr>
        <w:t xml:space="preserve">Tavares </w:t>
      </w:r>
      <w:proofErr w:type="gramStart"/>
      <w:r w:rsidRPr="0039162D">
        <w:rPr>
          <w:rFonts w:cstheme="minorHAnsi"/>
          <w:snapToGrid w:val="0"/>
          <w:sz w:val="16"/>
        </w:rPr>
        <w:t>A</w:t>
      </w:r>
      <w:proofErr w:type="gramEnd"/>
      <w:r w:rsidRPr="0039162D">
        <w:rPr>
          <w:rFonts w:cstheme="minorHAnsi"/>
          <w:snapToGrid w:val="0"/>
          <w:sz w:val="16"/>
        </w:rPr>
        <w:t xml:space="preserve"> et al. Brain distribution of MS565, an imaging analogue of </w:t>
      </w:r>
      <w:proofErr w:type="spellStart"/>
      <w:r w:rsidRPr="0039162D">
        <w:rPr>
          <w:rFonts w:cstheme="minorHAnsi"/>
          <w:snapToGrid w:val="0"/>
          <w:sz w:val="16"/>
        </w:rPr>
        <w:t>siponimod</w:t>
      </w:r>
      <w:proofErr w:type="spellEnd"/>
      <w:r w:rsidRPr="0039162D">
        <w:rPr>
          <w:rFonts w:cstheme="minorHAnsi"/>
          <w:snapToGrid w:val="0"/>
          <w:sz w:val="16"/>
        </w:rPr>
        <w:t xml:space="preserve"> (BAF312), in non-human primates. </w:t>
      </w:r>
      <w:r w:rsidRPr="00B87FA1">
        <w:rPr>
          <w:rFonts w:cstheme="minorHAnsi"/>
          <w:snapToGrid w:val="0"/>
          <w:sz w:val="16"/>
        </w:rPr>
        <w:t>Neurology 2014; 82(10 (</w:t>
      </w:r>
      <w:proofErr w:type="spellStart"/>
      <w:r w:rsidRPr="00B87FA1">
        <w:rPr>
          <w:rFonts w:cstheme="minorHAnsi"/>
          <w:snapToGrid w:val="0"/>
          <w:sz w:val="16"/>
        </w:rPr>
        <w:t>Suppl</w:t>
      </w:r>
      <w:proofErr w:type="spellEnd"/>
      <w:r w:rsidRPr="00B87FA1">
        <w:rPr>
          <w:rFonts w:cstheme="minorHAnsi"/>
          <w:snapToGrid w:val="0"/>
          <w:sz w:val="16"/>
        </w:rPr>
        <w:t>)): P1.168.</w:t>
      </w:r>
    </w:p>
    <w:p w:rsidR="00F810A4" w:rsidRPr="005233E9" w:rsidRDefault="00F810A4" w:rsidP="00FC3BF8">
      <w:pPr>
        <w:numPr>
          <w:ilvl w:val="0"/>
          <w:numId w:val="9"/>
        </w:numPr>
        <w:jc w:val="both"/>
        <w:rPr>
          <w:rFonts w:cstheme="minorHAnsi"/>
          <w:snapToGrid w:val="0"/>
          <w:sz w:val="16"/>
        </w:rPr>
      </w:pPr>
      <w:r w:rsidRPr="0039162D">
        <w:rPr>
          <w:rFonts w:cstheme="minorHAnsi"/>
          <w:snapToGrid w:val="0"/>
          <w:sz w:val="16"/>
        </w:rPr>
        <w:t xml:space="preserve">PubMed Health. Multiple Sclerosis. </w:t>
      </w:r>
      <w:hyperlink r:id="rId14">
        <w:r w:rsidRPr="0039162D">
          <w:rPr>
            <w:rStyle w:val="Hyperlink"/>
            <w:rFonts w:cstheme="minorHAnsi"/>
            <w:snapToGrid w:val="0"/>
            <w:sz w:val="16"/>
          </w:rPr>
          <w:t>http://www.ncbi.nlm.nih.gov/pubmedhealth/PMHT0024311/</w:t>
        </w:r>
      </w:hyperlink>
      <w:r w:rsidRPr="0039162D">
        <w:rPr>
          <w:rFonts w:cstheme="minorHAnsi"/>
          <w:snapToGrid w:val="0"/>
          <w:sz w:val="16"/>
        </w:rPr>
        <w:t xml:space="preserve"> (link is external). </w:t>
      </w:r>
      <w:r>
        <w:rPr>
          <w:rFonts w:cstheme="minorHAnsi"/>
          <w:snapToGrid w:val="0"/>
          <w:sz w:val="16"/>
        </w:rPr>
        <w:t>Accessed July 2016.</w:t>
      </w:r>
    </w:p>
    <w:p w:rsidR="00F810A4" w:rsidRPr="005233E9" w:rsidRDefault="00F810A4" w:rsidP="00FC3BF8">
      <w:pPr>
        <w:pStyle w:val="ListParagraph"/>
        <w:numPr>
          <w:ilvl w:val="0"/>
          <w:numId w:val="9"/>
        </w:numPr>
        <w:jc w:val="both"/>
        <w:rPr>
          <w:rFonts w:cstheme="minorHAnsi"/>
          <w:snapToGrid w:val="0"/>
          <w:sz w:val="16"/>
        </w:rPr>
      </w:pPr>
      <w:r w:rsidRPr="0039162D">
        <w:rPr>
          <w:rFonts w:cstheme="minorHAnsi"/>
          <w:snapToGrid w:val="0"/>
          <w:sz w:val="16"/>
        </w:rPr>
        <w:t xml:space="preserve">National Multiple Sclerosis Society. MS Symptoms. http://www.nationalmssociety.org/Symptoms-Diagnosis/MS-Symptoms (link is external). </w:t>
      </w:r>
      <w:r>
        <w:rPr>
          <w:rFonts w:cstheme="minorHAnsi"/>
          <w:snapToGrid w:val="0"/>
          <w:sz w:val="16"/>
        </w:rPr>
        <w:t>Accessed July 2016.</w:t>
      </w:r>
    </w:p>
    <w:p w:rsidR="00F810A4" w:rsidRPr="00B87FA1" w:rsidRDefault="00F810A4" w:rsidP="00FC3BF8">
      <w:pPr>
        <w:numPr>
          <w:ilvl w:val="0"/>
          <w:numId w:val="9"/>
        </w:numPr>
        <w:jc w:val="both"/>
        <w:rPr>
          <w:rFonts w:cstheme="minorHAnsi"/>
          <w:snapToGrid w:val="0"/>
          <w:sz w:val="16"/>
        </w:rPr>
      </w:pPr>
      <w:r w:rsidRPr="0039162D">
        <w:rPr>
          <w:rFonts w:cstheme="minorHAnsi"/>
          <w:snapToGrid w:val="0"/>
          <w:sz w:val="16"/>
        </w:rPr>
        <w:t xml:space="preserve">National Multiple Sclerosis Society. Types of MS. </w:t>
      </w:r>
      <w:hyperlink r:id="rId15">
        <w:r w:rsidRPr="0039162D">
          <w:rPr>
            <w:rStyle w:val="Hyperlink"/>
            <w:rFonts w:cstheme="minorHAnsi"/>
            <w:snapToGrid w:val="0"/>
            <w:sz w:val="16"/>
          </w:rPr>
          <w:t>http://www.nationalmssociety.org/What-is-MS/Types-of-MS</w:t>
        </w:r>
      </w:hyperlink>
      <w:r w:rsidRPr="0039162D">
        <w:rPr>
          <w:rFonts w:cstheme="minorHAnsi"/>
          <w:snapToGrid w:val="0"/>
          <w:sz w:val="16"/>
        </w:rPr>
        <w:t xml:space="preserve"> (link is external). </w:t>
      </w:r>
      <w:r w:rsidRPr="00B87FA1">
        <w:rPr>
          <w:rFonts w:cstheme="minorHAnsi"/>
          <w:snapToGrid w:val="0"/>
          <w:sz w:val="16"/>
        </w:rPr>
        <w:t>Accessed August 2016.</w:t>
      </w:r>
    </w:p>
    <w:p w:rsidR="006070C1" w:rsidRPr="005233E9" w:rsidRDefault="006070C1" w:rsidP="00FC3BF8">
      <w:pPr>
        <w:numPr>
          <w:ilvl w:val="0"/>
          <w:numId w:val="9"/>
        </w:numPr>
        <w:jc w:val="both"/>
        <w:rPr>
          <w:rFonts w:cstheme="minorHAnsi"/>
          <w:snapToGrid w:val="0"/>
          <w:sz w:val="16"/>
        </w:rPr>
      </w:pPr>
      <w:r w:rsidRPr="0039162D">
        <w:rPr>
          <w:rFonts w:cstheme="minorHAnsi"/>
          <w:snapToGrid w:val="0"/>
          <w:sz w:val="16"/>
        </w:rPr>
        <w:t xml:space="preserve">Multiple Sclerosis International Federation. Atlas of MS 2013. </w:t>
      </w:r>
      <w:hyperlink r:id="rId16">
        <w:r w:rsidRPr="0039162D">
          <w:rPr>
            <w:rStyle w:val="Hyperlink"/>
            <w:rFonts w:cstheme="minorHAnsi"/>
            <w:snapToGrid w:val="0"/>
            <w:sz w:val="16"/>
          </w:rPr>
          <w:t>http://www.msif.org/wp-content/uploads/2014/09/Atlas-of-MS.pdf</w:t>
        </w:r>
      </w:hyperlink>
      <w:r w:rsidRPr="0039162D">
        <w:rPr>
          <w:rFonts w:cstheme="minorHAnsi"/>
          <w:snapToGrid w:val="0"/>
          <w:sz w:val="16"/>
        </w:rPr>
        <w:t xml:space="preserve"> (link is external). </w:t>
      </w:r>
      <w:r>
        <w:rPr>
          <w:rFonts w:cstheme="minorHAnsi"/>
          <w:snapToGrid w:val="0"/>
          <w:sz w:val="16"/>
        </w:rPr>
        <w:t>Accessed August 2016.</w:t>
      </w:r>
    </w:p>
    <w:p w:rsidR="006070C1" w:rsidRPr="00360819" w:rsidRDefault="006070C1" w:rsidP="00FC3BF8">
      <w:pPr>
        <w:numPr>
          <w:ilvl w:val="0"/>
          <w:numId w:val="9"/>
        </w:numPr>
        <w:jc w:val="both"/>
        <w:rPr>
          <w:rFonts w:cstheme="minorHAnsi"/>
          <w:snapToGrid w:val="0"/>
          <w:sz w:val="16"/>
        </w:rPr>
      </w:pPr>
      <w:proofErr w:type="spellStart"/>
      <w:r w:rsidRPr="0039162D">
        <w:rPr>
          <w:rFonts w:cstheme="minorHAnsi"/>
          <w:snapToGrid w:val="0"/>
          <w:sz w:val="16"/>
        </w:rPr>
        <w:t>Tremlett</w:t>
      </w:r>
      <w:proofErr w:type="spellEnd"/>
      <w:r w:rsidRPr="0039162D">
        <w:rPr>
          <w:rFonts w:cstheme="minorHAnsi"/>
          <w:snapToGrid w:val="0"/>
          <w:sz w:val="16"/>
        </w:rPr>
        <w:t xml:space="preserve"> H, et al. The natural history of secondary-progressive multiple sclerosis. </w:t>
      </w:r>
      <w:proofErr w:type="spellStart"/>
      <w:r>
        <w:rPr>
          <w:rFonts w:cstheme="minorHAnsi"/>
          <w:snapToGrid w:val="0"/>
          <w:sz w:val="16"/>
        </w:rPr>
        <w:t>Mult</w:t>
      </w:r>
      <w:proofErr w:type="spellEnd"/>
      <w:r>
        <w:rPr>
          <w:rFonts w:cstheme="minorHAnsi"/>
          <w:snapToGrid w:val="0"/>
          <w:sz w:val="16"/>
        </w:rPr>
        <w:t xml:space="preserve"> </w:t>
      </w:r>
      <w:proofErr w:type="spellStart"/>
      <w:r>
        <w:rPr>
          <w:rFonts w:cstheme="minorHAnsi"/>
          <w:snapToGrid w:val="0"/>
          <w:sz w:val="16"/>
        </w:rPr>
        <w:t>Scler</w:t>
      </w:r>
      <w:proofErr w:type="spellEnd"/>
      <w:r>
        <w:rPr>
          <w:rFonts w:cstheme="minorHAnsi"/>
          <w:snapToGrid w:val="0"/>
          <w:sz w:val="16"/>
        </w:rPr>
        <w:t>. 2008;14:314-324</w:t>
      </w:r>
    </w:p>
    <w:p w:rsidR="006070C1" w:rsidRPr="00FA7D52" w:rsidRDefault="006070C1" w:rsidP="00FC3BF8">
      <w:pPr>
        <w:numPr>
          <w:ilvl w:val="0"/>
          <w:numId w:val="9"/>
        </w:numPr>
        <w:jc w:val="both"/>
        <w:rPr>
          <w:rFonts w:cstheme="minorHAnsi"/>
          <w:snapToGrid w:val="0"/>
          <w:sz w:val="16"/>
        </w:rPr>
      </w:pPr>
      <w:proofErr w:type="spellStart"/>
      <w:r w:rsidRPr="0039162D">
        <w:rPr>
          <w:rFonts w:cstheme="minorHAnsi"/>
          <w:snapToGrid w:val="0"/>
          <w:sz w:val="16"/>
        </w:rPr>
        <w:t>Mehr</w:t>
      </w:r>
      <w:proofErr w:type="spellEnd"/>
      <w:r w:rsidRPr="0039162D">
        <w:rPr>
          <w:rFonts w:cstheme="minorHAnsi"/>
          <w:snapToGrid w:val="0"/>
          <w:sz w:val="16"/>
        </w:rPr>
        <w:t xml:space="preserve"> S.R. and Zimmerman M.P. </w:t>
      </w:r>
      <w:proofErr w:type="gramStart"/>
      <w:r w:rsidRPr="0039162D">
        <w:rPr>
          <w:rFonts w:cstheme="minorHAnsi"/>
          <w:snapToGrid w:val="0"/>
          <w:sz w:val="16"/>
        </w:rPr>
        <w:t>Reviewing</w:t>
      </w:r>
      <w:proofErr w:type="gramEnd"/>
      <w:r w:rsidRPr="0039162D">
        <w:rPr>
          <w:rFonts w:cstheme="minorHAnsi"/>
          <w:snapToGrid w:val="0"/>
          <w:sz w:val="16"/>
        </w:rPr>
        <w:t xml:space="preserve"> the unmet needs of patients with multiple sclerosis. </w:t>
      </w:r>
      <w:r>
        <w:rPr>
          <w:rFonts w:cstheme="minorHAnsi"/>
          <w:snapToGrid w:val="0"/>
          <w:sz w:val="16"/>
        </w:rPr>
        <w:t>Am Health Drug Benefits. 2015; 8(6);426-431.</w:t>
      </w:r>
    </w:p>
    <w:p w:rsidR="003D544D" w:rsidRDefault="003D544D" w:rsidP="00FC3BF8">
      <w:pPr>
        <w:tabs>
          <w:tab w:val="left" w:pos="0"/>
          <w:tab w:val="left" w:pos="3600"/>
        </w:tabs>
        <w:jc w:val="both"/>
        <w:rPr>
          <w:rFonts w:asciiTheme="majorHAnsi" w:hAnsiTheme="majorHAnsi" w:cstheme="majorHAnsi"/>
        </w:rPr>
      </w:pPr>
    </w:p>
    <w:p w:rsidR="00E8162E" w:rsidRPr="00DE2F3F" w:rsidRDefault="00E8162E" w:rsidP="00FC3BF8">
      <w:pPr>
        <w:tabs>
          <w:tab w:val="left" w:pos="0"/>
          <w:tab w:val="left" w:pos="3600"/>
        </w:tabs>
        <w:jc w:val="center"/>
        <w:rPr>
          <w:rFonts w:asciiTheme="majorHAnsi" w:hAnsiTheme="majorHAnsi" w:cstheme="majorHAnsi"/>
        </w:rPr>
      </w:pPr>
      <w:r>
        <w:rPr>
          <w:rFonts w:asciiTheme="majorHAnsi" w:hAnsiTheme="majorHAnsi" w:cstheme="majorHAnsi"/>
        </w:rPr>
        <w:t># # #</w:t>
      </w:r>
    </w:p>
    <w:p w:rsidR="00C770E4" w:rsidRDefault="00C770E4" w:rsidP="00C770E4">
      <w:pPr>
        <w:pStyle w:val="SubheadText"/>
        <w:jc w:val="both"/>
      </w:pPr>
    </w:p>
    <w:p w:rsidR="00C770E4" w:rsidRDefault="00C770E4" w:rsidP="00C770E4">
      <w:pPr>
        <w:pStyle w:val="SubheadText"/>
        <w:jc w:val="both"/>
      </w:pPr>
    </w:p>
    <w:p w:rsidR="00C770E4" w:rsidRPr="00C770E4" w:rsidRDefault="00C770E4" w:rsidP="00C770E4">
      <w:pPr>
        <w:pStyle w:val="SubheadText"/>
        <w:jc w:val="both"/>
        <w:rPr>
          <w:lang w:val="el-GR"/>
        </w:rPr>
      </w:pPr>
      <w:r w:rsidRPr="00C770E4">
        <w:rPr>
          <w:lang w:val="el-GR"/>
        </w:rPr>
        <w:t>Για περισσότερες πληροφορίες:</w:t>
      </w:r>
    </w:p>
    <w:p w:rsidR="00C770E4" w:rsidRPr="00C770E4" w:rsidRDefault="00C770E4" w:rsidP="00C770E4">
      <w:pPr>
        <w:pStyle w:val="SubheadText"/>
        <w:jc w:val="both"/>
        <w:rPr>
          <w:lang w:val="el-GR"/>
        </w:rPr>
      </w:pPr>
    </w:p>
    <w:p w:rsidR="00C770E4" w:rsidRPr="00C770E4" w:rsidRDefault="00C770E4" w:rsidP="00C770E4">
      <w:pPr>
        <w:pStyle w:val="SubheadText"/>
        <w:jc w:val="both"/>
        <w:rPr>
          <w:lang w:val="el-GR"/>
        </w:rPr>
      </w:pPr>
      <w:r w:rsidRPr="00C770E4">
        <w:rPr>
          <w:lang w:val="el-GR"/>
        </w:rPr>
        <w:t xml:space="preserve">Νατάσα </w:t>
      </w:r>
      <w:proofErr w:type="spellStart"/>
      <w:r w:rsidRPr="00C770E4">
        <w:rPr>
          <w:lang w:val="el-GR"/>
        </w:rPr>
        <w:t>Χατζηπρίμου</w:t>
      </w:r>
      <w:proofErr w:type="spellEnd"/>
    </w:p>
    <w:p w:rsidR="00C770E4" w:rsidRPr="00C770E4" w:rsidRDefault="00C770E4" w:rsidP="00C770E4">
      <w:pPr>
        <w:pStyle w:val="SubheadText"/>
        <w:jc w:val="both"/>
        <w:rPr>
          <w:lang w:val="el-GR"/>
        </w:rPr>
      </w:pPr>
      <w:proofErr w:type="spellStart"/>
      <w:r w:rsidRPr="00C770E4">
        <w:rPr>
          <w:lang w:val="el-GR"/>
        </w:rPr>
        <w:t>Τηλ</w:t>
      </w:r>
      <w:proofErr w:type="spellEnd"/>
      <w:r w:rsidRPr="00C770E4">
        <w:rPr>
          <w:lang w:val="el-GR"/>
        </w:rPr>
        <w:t>: 210 2897028</w:t>
      </w:r>
    </w:p>
    <w:p w:rsidR="00C770E4" w:rsidRPr="00C770E4" w:rsidRDefault="00C770E4" w:rsidP="00C770E4">
      <w:pPr>
        <w:pStyle w:val="SubheadText"/>
        <w:jc w:val="both"/>
        <w:rPr>
          <w:lang w:val="el-GR"/>
        </w:rPr>
      </w:pPr>
      <w:r w:rsidRPr="00C770E4">
        <w:rPr>
          <w:lang w:val="el-GR"/>
        </w:rPr>
        <w:t>natasa.chatziprimou@novartis.com</w:t>
      </w:r>
    </w:p>
    <w:p w:rsidR="000930FF" w:rsidRPr="00FC3BF8" w:rsidRDefault="00C770E4" w:rsidP="00C770E4">
      <w:pPr>
        <w:pStyle w:val="SubheadText"/>
        <w:jc w:val="both"/>
        <w:rPr>
          <w:lang w:val="el-GR"/>
        </w:rPr>
      </w:pPr>
      <w:r w:rsidRPr="00C770E4">
        <w:rPr>
          <w:lang w:val="el-GR"/>
        </w:rPr>
        <w:t>www.novartis.com</w:t>
      </w:r>
    </w:p>
    <w:sectPr w:rsidR="000930FF" w:rsidRPr="00FC3BF8" w:rsidSect="00DA6530">
      <w:headerReference w:type="default" r:id="rId17"/>
      <w:headerReference w:type="first" r:id="rId18"/>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8B" w:rsidRDefault="00573A8B" w:rsidP="00852473">
      <w:pPr>
        <w:spacing w:line="240" w:lineRule="auto"/>
      </w:pPr>
      <w:r>
        <w:separator/>
      </w:r>
    </w:p>
  </w:endnote>
  <w:endnote w:type="continuationSeparator" w:id="0">
    <w:p w:rsidR="00573A8B" w:rsidRDefault="00573A8B"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abon">
    <w:altName w:val="Times New Roman"/>
    <w:charset w:val="A1"/>
    <w:family w:val="roman"/>
    <w:pitch w:val="variable"/>
    <w:sig w:usb0="00000287" w:usb1="00000000" w:usb2="00000000" w:usb3="00000000" w:csb0="0000009F" w:csb1="00000000"/>
  </w:font>
  <w:font w:name="News Gothic MT">
    <w:altName w:val="Corbel"/>
    <w:charset w:val="A1"/>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8B" w:rsidRDefault="00573A8B" w:rsidP="00852473">
      <w:pPr>
        <w:spacing w:line="240" w:lineRule="auto"/>
      </w:pPr>
      <w:r>
        <w:separator/>
      </w:r>
    </w:p>
  </w:footnote>
  <w:footnote w:type="continuationSeparator" w:id="0">
    <w:p w:rsidR="00573A8B" w:rsidRDefault="00573A8B" w:rsidP="008524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C0" w:rsidRPr="00FA638E" w:rsidRDefault="006577C0" w:rsidP="00FA638E">
    <w:pPr>
      <w:pStyle w:val="Header"/>
    </w:pPr>
    <w:proofErr w:type="spellStart"/>
    <w:r>
      <w:t>Σελίδ</w:t>
    </w:r>
    <w:proofErr w:type="spellEnd"/>
    <w:r>
      <w:t xml:space="preserve">α </w:t>
    </w:r>
    <w:r w:rsidRPr="00FA638E">
      <w:fldChar w:fldCharType="begin"/>
    </w:r>
    <w:r w:rsidRPr="00FA638E">
      <w:instrText xml:space="preserve"> PAGE </w:instrText>
    </w:r>
    <w:r w:rsidRPr="00FA638E">
      <w:fldChar w:fldCharType="separate"/>
    </w:r>
    <w:r w:rsidR="00E708E2">
      <w:rPr>
        <w:noProof/>
      </w:rPr>
      <w:t>2</w:t>
    </w:r>
    <w:r w:rsidRPr="00FA638E">
      <w:fldChar w:fldCharType="end"/>
    </w:r>
    <w:r>
      <w:t xml:space="preserve"> από </w:t>
    </w:r>
    <w:r w:rsidR="00573A8B">
      <w:fldChar w:fldCharType="begin"/>
    </w:r>
    <w:r w:rsidR="00573A8B">
      <w:instrText xml:space="preserve"> NUMPAGES </w:instrText>
    </w:r>
    <w:r w:rsidR="00573A8B">
      <w:fldChar w:fldCharType="separate"/>
    </w:r>
    <w:r w:rsidR="00E708E2">
      <w:rPr>
        <w:noProof/>
      </w:rPr>
      <w:t>5</w:t>
    </w:r>
    <w:r w:rsidR="00573A8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F8" w:rsidRPr="00FC3BF8" w:rsidRDefault="00FC3BF8" w:rsidP="00FC3BF8">
    <w:pPr>
      <w:tabs>
        <w:tab w:val="left" w:pos="284"/>
        <w:tab w:val="center" w:pos="4320"/>
        <w:tab w:val="right" w:pos="8640"/>
      </w:tabs>
      <w:spacing w:line="240" w:lineRule="auto"/>
      <w:jc w:val="right"/>
      <w:rPr>
        <w:rFonts w:ascii="Arial" w:eastAsia="Times New Roman" w:hAnsi="Arial" w:cs="Arial"/>
        <w:color w:val="000000"/>
        <w:sz w:val="16"/>
        <w:szCs w:val="16"/>
        <w:lang w:val="el-GR"/>
      </w:rPr>
    </w:pPr>
    <w:r>
      <w:rPr>
        <w:noProof/>
        <w:lang w:val="el-GR" w:eastAsia="el-GR"/>
      </w:rPr>
      <mc:AlternateContent>
        <mc:Choice Requires="wps">
          <w:drawing>
            <wp:anchor distT="0" distB="0" distL="0" distR="0" simplePos="0" relativeHeight="251659264" behindDoc="1" locked="0" layoutInCell="1" allowOverlap="1" wp14:anchorId="669CE6F6" wp14:editId="2C556BB9">
              <wp:simplePos x="0" y="0"/>
              <wp:positionH relativeFrom="page">
                <wp:posOffset>0</wp:posOffset>
              </wp:positionH>
              <wp:positionV relativeFrom="page">
                <wp:posOffset>-1052195</wp:posOffset>
              </wp:positionV>
              <wp:extent cx="7559675" cy="264795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64795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0204C" id="Rectangle 1" o:spid="_x0000_s1026" style="position:absolute;margin-left:0;margin-top:-82.85pt;width:595.25pt;height:2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" filled="f" stroked="f" strokeweight="1pt">
              <v:stroke endcap="square"/>
              <v:path arrowok="t"/>
              <w10:wrap type="square" anchorx="page" anchory="page"/>
            </v:rect>
          </w:pict>
        </mc:Fallback>
      </mc:AlternateContent>
    </w:r>
    <w:r w:rsidRPr="00FC3BF8">
      <w:rPr>
        <w:rFonts w:ascii="Arial" w:eastAsia="Times New Roman" w:hAnsi="Arial" w:cs="Arial"/>
        <w:b/>
        <w:color w:val="000000"/>
        <w:sz w:val="16"/>
        <w:szCs w:val="16"/>
        <w:lang w:val="el-GR"/>
      </w:rPr>
      <w:t>Ν</w:t>
    </w:r>
    <w:proofErr w:type="spellStart"/>
    <w:r w:rsidRPr="00FC3BF8">
      <w:rPr>
        <w:rFonts w:ascii="Arial" w:eastAsia="Times New Roman" w:hAnsi="Arial" w:cs="Arial"/>
        <w:b/>
        <w:color w:val="000000"/>
        <w:sz w:val="16"/>
        <w:szCs w:val="16"/>
        <w:lang w:val="fr-FR"/>
      </w:rPr>
      <w:t>ovartis</w:t>
    </w:r>
    <w:proofErr w:type="spellEnd"/>
    <w:r w:rsidRPr="00FC3BF8">
      <w:rPr>
        <w:rFonts w:ascii="Arial" w:eastAsia="Times New Roman" w:hAnsi="Arial" w:cs="Arial"/>
        <w:b/>
        <w:color w:val="000000"/>
        <w:sz w:val="16"/>
        <w:szCs w:val="16"/>
        <w:lang w:val="el-GR"/>
      </w:rPr>
      <w:t xml:space="preserve"> </w:t>
    </w:r>
    <w:r w:rsidRPr="00FC3BF8">
      <w:rPr>
        <w:rFonts w:ascii="Arial" w:eastAsia="Times New Roman" w:hAnsi="Arial" w:cs="Arial"/>
        <w:b/>
        <w:color w:val="000000"/>
        <w:sz w:val="16"/>
        <w:szCs w:val="16"/>
        <w:lang w:val="fr-FR"/>
      </w:rPr>
      <w:t>Hellas</w:t>
    </w:r>
    <w:r w:rsidRPr="00FC3BF8">
      <w:rPr>
        <w:rFonts w:ascii="Arial" w:eastAsia="Times New Roman" w:hAnsi="Arial" w:cs="Arial"/>
        <w:color w:val="000000"/>
        <w:sz w:val="16"/>
        <w:szCs w:val="16"/>
        <w:lang w:val="el-GR"/>
      </w:rPr>
      <w:br/>
      <w:t xml:space="preserve">Τμήμα Επικοινωνίας </w:t>
    </w:r>
    <w:r w:rsidRPr="00FC3BF8">
      <w:rPr>
        <w:rFonts w:ascii="Arial" w:eastAsia="Times New Roman" w:hAnsi="Arial" w:cs="Arial"/>
        <w:color w:val="000000"/>
        <w:sz w:val="16"/>
        <w:szCs w:val="16"/>
        <w:lang w:val="el-GR"/>
      </w:rPr>
      <w:br/>
    </w:r>
    <w:r w:rsidRPr="00FC3BF8">
      <w:rPr>
        <w:rFonts w:ascii="Arial" w:eastAsia="Times New Roman" w:hAnsi="Arial" w:cs="Arial"/>
        <w:color w:val="000000"/>
        <w:sz w:val="16"/>
        <w:szCs w:val="16"/>
        <w:lang w:val="el-GR"/>
      </w:rPr>
      <w:br/>
      <w:t>Ελλάδα</w:t>
    </w:r>
  </w:p>
  <w:p w:rsidR="006577C0" w:rsidRPr="00FC3BF8" w:rsidRDefault="00F87224" w:rsidP="00FC3BF8">
    <w:pPr>
      <w:tabs>
        <w:tab w:val="center" w:pos="4320"/>
        <w:tab w:val="right" w:pos="8640"/>
      </w:tabs>
      <w:spacing w:line="240" w:lineRule="auto"/>
      <w:jc w:val="right"/>
      <w:rPr>
        <w:rFonts w:ascii="Times New Roman" w:eastAsia="Times New Roman" w:hAnsi="Times New Roman" w:cs="Times New Roman"/>
        <w:sz w:val="24"/>
        <w:szCs w:val="24"/>
        <w:lang w:val="el-GR"/>
      </w:rPr>
    </w:pPr>
    <w:hyperlink r:id="rId1" w:history="1">
      <w:r w:rsidR="00FC3BF8" w:rsidRPr="00FC3BF8">
        <w:rPr>
          <w:rFonts w:ascii="Arial" w:eastAsia="Times New Roman" w:hAnsi="Arial" w:cs="Arial"/>
          <w:color w:val="0000FF"/>
          <w:sz w:val="16"/>
          <w:szCs w:val="16"/>
          <w:u w:val="single"/>
          <w:lang w:val="es-ES"/>
        </w:rPr>
        <w:t>http</w:t>
      </w:r>
      <w:r w:rsidR="00FC3BF8" w:rsidRPr="00FC3BF8">
        <w:rPr>
          <w:rFonts w:ascii="Arial" w:eastAsia="Times New Roman" w:hAnsi="Arial" w:cs="Arial"/>
          <w:color w:val="0000FF"/>
          <w:sz w:val="16"/>
          <w:szCs w:val="16"/>
          <w:u w:val="single"/>
          <w:lang w:val="el-GR"/>
        </w:rPr>
        <w:t>://</w:t>
      </w:r>
      <w:r w:rsidR="00FC3BF8" w:rsidRPr="00FC3BF8">
        <w:rPr>
          <w:rFonts w:ascii="Arial" w:eastAsia="Times New Roman" w:hAnsi="Arial" w:cs="Arial"/>
          <w:color w:val="0000FF"/>
          <w:sz w:val="16"/>
          <w:szCs w:val="16"/>
          <w:u w:val="single"/>
          <w:lang w:val="es-ES"/>
        </w:rPr>
        <w:t>www</w:t>
      </w:r>
      <w:r w:rsidR="00FC3BF8" w:rsidRPr="00FC3BF8">
        <w:rPr>
          <w:rFonts w:ascii="Arial" w:eastAsia="Times New Roman" w:hAnsi="Arial" w:cs="Arial"/>
          <w:color w:val="0000FF"/>
          <w:sz w:val="16"/>
          <w:szCs w:val="16"/>
          <w:u w:val="single"/>
          <w:lang w:val="el-GR"/>
        </w:rPr>
        <w:t>.</w:t>
      </w:r>
      <w:proofErr w:type="spellStart"/>
      <w:r w:rsidR="00FC3BF8" w:rsidRPr="00FC3BF8">
        <w:rPr>
          <w:rFonts w:ascii="Arial" w:eastAsia="Times New Roman" w:hAnsi="Arial" w:cs="Arial"/>
          <w:color w:val="0000FF"/>
          <w:sz w:val="16"/>
          <w:szCs w:val="16"/>
          <w:u w:val="single"/>
          <w:lang w:val="es-ES"/>
        </w:rPr>
        <w:t>novartis</w:t>
      </w:r>
      <w:proofErr w:type="spellEnd"/>
      <w:r w:rsidR="00FC3BF8" w:rsidRPr="00FC3BF8">
        <w:rPr>
          <w:rFonts w:ascii="Arial" w:eastAsia="Times New Roman" w:hAnsi="Arial" w:cs="Arial"/>
          <w:color w:val="0000FF"/>
          <w:sz w:val="16"/>
          <w:szCs w:val="16"/>
          <w:u w:val="single"/>
          <w:lang w:val="el-GR"/>
        </w:rPr>
        <w:t>.</w:t>
      </w:r>
      <w:r w:rsidR="00FC3BF8" w:rsidRPr="00FC3BF8">
        <w:rPr>
          <w:rFonts w:ascii="Arial" w:eastAsia="Times New Roman" w:hAnsi="Arial" w:cs="Arial"/>
          <w:color w:val="0000FF"/>
          <w:sz w:val="16"/>
          <w:szCs w:val="16"/>
          <w:u w:val="single"/>
        </w:rPr>
        <w:t>gr</w:t>
      </w:r>
    </w:hyperlink>
  </w:p>
  <w:p w:rsidR="006577C0" w:rsidRPr="00FC3BF8" w:rsidRDefault="006577C0">
    <w:pPr>
      <w:pStyle w:val="Header"/>
      <w:rPr>
        <w:lang w:val="el-GR"/>
      </w:rPr>
    </w:pPr>
  </w:p>
  <w:p w:rsidR="006577C0" w:rsidRPr="00510D9F" w:rsidRDefault="006577C0" w:rsidP="00DE2F3F">
    <w:pPr>
      <w:shd w:val="clear" w:color="auto" w:fill="B8B8B8" w:themeFill="background2" w:themeFillShade="E6"/>
      <w:spacing w:line="200" w:lineRule="atLeast"/>
      <w:jc w:val="center"/>
      <w:rPr>
        <w:b/>
        <w:noProof/>
        <w:sz w:val="22"/>
        <w:szCs w:val="16"/>
        <w:lang w:val="el-GR"/>
      </w:rPr>
    </w:pPr>
    <w:r w:rsidRPr="00510D9F">
      <w:rPr>
        <w:b/>
        <w:noProof/>
        <w:sz w:val="22"/>
        <w:lang w:val="el-GR"/>
      </w:rPr>
      <w:t>ΔΕΛΤΙΟ ΤΥΠΟΥ</w:t>
    </w:r>
    <w:r>
      <w:rPr>
        <w:noProof/>
        <w:lang w:val="el-GR" w:eastAsia="el-GR"/>
      </w:rPr>
      <w:drawing>
        <wp:anchor distT="0" distB="0" distL="114300" distR="114300" simplePos="0" relativeHeight="251665408" behindDoc="0" locked="0" layoutInCell="1" allowOverlap="1" wp14:anchorId="64125173" wp14:editId="2DCBA04A">
          <wp:simplePos x="0" y="0"/>
          <wp:positionH relativeFrom="page">
            <wp:posOffset>1345142</wp:posOffset>
          </wp:positionH>
          <wp:positionV relativeFrom="page">
            <wp:posOffset>582930</wp:posOffset>
          </wp:positionV>
          <wp:extent cx="1810385" cy="33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10385" cy="330200"/>
                  </a:xfrm>
                  <a:prstGeom prst="rect">
                    <a:avLst/>
                  </a:prstGeom>
                  <a:extLst>
                    <a:ext uri="{FAA26D3D-D897-4be2-8F04-BA451C77F1D7}">
                      <ma14:placeholderFlag xmlns:ve="http://schemas.openxmlformats.org/markup-compatibility/2006"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908"/>
    <w:multiLevelType w:val="hybridMultilevel"/>
    <w:tmpl w:val="1B98F46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F9F"/>
    <w:multiLevelType w:val="hybridMultilevel"/>
    <w:tmpl w:val="0502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8416A"/>
    <w:multiLevelType w:val="hybridMultilevel"/>
    <w:tmpl w:val="927E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94EAC"/>
    <w:multiLevelType w:val="hybridMultilevel"/>
    <w:tmpl w:val="61AA4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6" w15:restartNumberingAfterBreak="0">
    <w:nsid w:val="37D81047"/>
    <w:multiLevelType w:val="hybridMultilevel"/>
    <w:tmpl w:val="3666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E087E"/>
    <w:multiLevelType w:val="hybridMultilevel"/>
    <w:tmpl w:val="61AA4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9" w15:restartNumberingAfterBreak="0">
    <w:nsid w:val="7EEB5B0F"/>
    <w:multiLevelType w:val="hybridMultilevel"/>
    <w:tmpl w:val="A304734C"/>
    <w:lvl w:ilvl="0" w:tplc="4962A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3"/>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C5"/>
    <w:rsid w:val="00017C0F"/>
    <w:rsid w:val="000201C9"/>
    <w:rsid w:val="00021210"/>
    <w:rsid w:val="00026DA5"/>
    <w:rsid w:val="00026F98"/>
    <w:rsid w:val="0003143F"/>
    <w:rsid w:val="00041F8B"/>
    <w:rsid w:val="00043C30"/>
    <w:rsid w:val="000537F4"/>
    <w:rsid w:val="00062925"/>
    <w:rsid w:val="0006490B"/>
    <w:rsid w:val="0008113E"/>
    <w:rsid w:val="0008410C"/>
    <w:rsid w:val="0009276E"/>
    <w:rsid w:val="000930FF"/>
    <w:rsid w:val="000A6812"/>
    <w:rsid w:val="000A771B"/>
    <w:rsid w:val="000B4513"/>
    <w:rsid w:val="000B6D6D"/>
    <w:rsid w:val="000B70C5"/>
    <w:rsid w:val="000E020B"/>
    <w:rsid w:val="000F7D27"/>
    <w:rsid w:val="00110F4D"/>
    <w:rsid w:val="0011532F"/>
    <w:rsid w:val="001240E2"/>
    <w:rsid w:val="0012460D"/>
    <w:rsid w:val="00130867"/>
    <w:rsid w:val="00131A10"/>
    <w:rsid w:val="00144876"/>
    <w:rsid w:val="00145329"/>
    <w:rsid w:val="001527B2"/>
    <w:rsid w:val="00154711"/>
    <w:rsid w:val="00154AE2"/>
    <w:rsid w:val="00167EC5"/>
    <w:rsid w:val="00170112"/>
    <w:rsid w:val="00171C5C"/>
    <w:rsid w:val="00177427"/>
    <w:rsid w:val="00180E11"/>
    <w:rsid w:val="001851E7"/>
    <w:rsid w:val="00197507"/>
    <w:rsid w:val="001A054E"/>
    <w:rsid w:val="001A14F8"/>
    <w:rsid w:val="001B2542"/>
    <w:rsid w:val="001B3648"/>
    <w:rsid w:val="001B7590"/>
    <w:rsid w:val="001C40B0"/>
    <w:rsid w:val="001C5511"/>
    <w:rsid w:val="001C742F"/>
    <w:rsid w:val="001D23B8"/>
    <w:rsid w:val="001F0CFF"/>
    <w:rsid w:val="001F6C38"/>
    <w:rsid w:val="002106C0"/>
    <w:rsid w:val="00210834"/>
    <w:rsid w:val="00226491"/>
    <w:rsid w:val="00233690"/>
    <w:rsid w:val="00247FB2"/>
    <w:rsid w:val="0025354A"/>
    <w:rsid w:val="0025464E"/>
    <w:rsid w:val="00261EA5"/>
    <w:rsid w:val="0026671E"/>
    <w:rsid w:val="00283351"/>
    <w:rsid w:val="0028462C"/>
    <w:rsid w:val="002870E7"/>
    <w:rsid w:val="002C6D75"/>
    <w:rsid w:val="002D3BD2"/>
    <w:rsid w:val="002D4BB1"/>
    <w:rsid w:val="002D4CD0"/>
    <w:rsid w:val="002E64F9"/>
    <w:rsid w:val="002F1E7B"/>
    <w:rsid w:val="002F5E04"/>
    <w:rsid w:val="002F7EA2"/>
    <w:rsid w:val="003012B8"/>
    <w:rsid w:val="00304E22"/>
    <w:rsid w:val="0031754A"/>
    <w:rsid w:val="00323509"/>
    <w:rsid w:val="003249D6"/>
    <w:rsid w:val="00346952"/>
    <w:rsid w:val="0034718B"/>
    <w:rsid w:val="00351163"/>
    <w:rsid w:val="00352F7C"/>
    <w:rsid w:val="00360819"/>
    <w:rsid w:val="003662F1"/>
    <w:rsid w:val="00367028"/>
    <w:rsid w:val="00383308"/>
    <w:rsid w:val="0039162D"/>
    <w:rsid w:val="00391DB7"/>
    <w:rsid w:val="00392D78"/>
    <w:rsid w:val="0039352F"/>
    <w:rsid w:val="00393D12"/>
    <w:rsid w:val="00395955"/>
    <w:rsid w:val="003A1782"/>
    <w:rsid w:val="003A2A4C"/>
    <w:rsid w:val="003A2CE3"/>
    <w:rsid w:val="003B38FC"/>
    <w:rsid w:val="003B7F5A"/>
    <w:rsid w:val="003C461D"/>
    <w:rsid w:val="003C5A9F"/>
    <w:rsid w:val="003C701F"/>
    <w:rsid w:val="003D10EB"/>
    <w:rsid w:val="003D436F"/>
    <w:rsid w:val="003D544D"/>
    <w:rsid w:val="003E26AE"/>
    <w:rsid w:val="003F4298"/>
    <w:rsid w:val="003F68DC"/>
    <w:rsid w:val="003F7E5B"/>
    <w:rsid w:val="004002D2"/>
    <w:rsid w:val="004077E7"/>
    <w:rsid w:val="004106E2"/>
    <w:rsid w:val="00423EE1"/>
    <w:rsid w:val="0042720E"/>
    <w:rsid w:val="00427211"/>
    <w:rsid w:val="00441BD7"/>
    <w:rsid w:val="00447EB1"/>
    <w:rsid w:val="00453B1C"/>
    <w:rsid w:val="00454BE4"/>
    <w:rsid w:val="004573C5"/>
    <w:rsid w:val="00466A66"/>
    <w:rsid w:val="0046748C"/>
    <w:rsid w:val="0047470D"/>
    <w:rsid w:val="00476A26"/>
    <w:rsid w:val="0049578D"/>
    <w:rsid w:val="004A0118"/>
    <w:rsid w:val="004A16DC"/>
    <w:rsid w:val="004A4D2A"/>
    <w:rsid w:val="004B1A0A"/>
    <w:rsid w:val="004D0D00"/>
    <w:rsid w:val="004E1DDD"/>
    <w:rsid w:val="004E3081"/>
    <w:rsid w:val="004E3394"/>
    <w:rsid w:val="004F1695"/>
    <w:rsid w:val="004F3E43"/>
    <w:rsid w:val="00500737"/>
    <w:rsid w:val="00504A17"/>
    <w:rsid w:val="00510D9F"/>
    <w:rsid w:val="0052044C"/>
    <w:rsid w:val="005233E9"/>
    <w:rsid w:val="0054702A"/>
    <w:rsid w:val="00551B8A"/>
    <w:rsid w:val="00552CD6"/>
    <w:rsid w:val="00553C78"/>
    <w:rsid w:val="00557558"/>
    <w:rsid w:val="00565FDF"/>
    <w:rsid w:val="00573A8B"/>
    <w:rsid w:val="00585E58"/>
    <w:rsid w:val="005913E1"/>
    <w:rsid w:val="00595F6D"/>
    <w:rsid w:val="005972DA"/>
    <w:rsid w:val="005A0805"/>
    <w:rsid w:val="005A6E6A"/>
    <w:rsid w:val="005B3D41"/>
    <w:rsid w:val="005B53A9"/>
    <w:rsid w:val="005B551B"/>
    <w:rsid w:val="005C00D0"/>
    <w:rsid w:val="005C633A"/>
    <w:rsid w:val="005D0111"/>
    <w:rsid w:val="005D2A8C"/>
    <w:rsid w:val="005E6802"/>
    <w:rsid w:val="005F66C9"/>
    <w:rsid w:val="005F6A71"/>
    <w:rsid w:val="005F7896"/>
    <w:rsid w:val="00602A07"/>
    <w:rsid w:val="006070C1"/>
    <w:rsid w:val="00624895"/>
    <w:rsid w:val="00640B4B"/>
    <w:rsid w:val="00642A07"/>
    <w:rsid w:val="00650104"/>
    <w:rsid w:val="0065033A"/>
    <w:rsid w:val="00650613"/>
    <w:rsid w:val="006577C0"/>
    <w:rsid w:val="006648AB"/>
    <w:rsid w:val="00667C1A"/>
    <w:rsid w:val="006A3D16"/>
    <w:rsid w:val="006B2DB8"/>
    <w:rsid w:val="006C1975"/>
    <w:rsid w:val="006E1F8E"/>
    <w:rsid w:val="006E4BDC"/>
    <w:rsid w:val="006E4DA2"/>
    <w:rsid w:val="006F009A"/>
    <w:rsid w:val="00711927"/>
    <w:rsid w:val="00714C1E"/>
    <w:rsid w:val="00717BE6"/>
    <w:rsid w:val="007235A9"/>
    <w:rsid w:val="00730B47"/>
    <w:rsid w:val="00736B26"/>
    <w:rsid w:val="00746690"/>
    <w:rsid w:val="007617AD"/>
    <w:rsid w:val="00773842"/>
    <w:rsid w:val="007A5F92"/>
    <w:rsid w:val="007A6046"/>
    <w:rsid w:val="007B457A"/>
    <w:rsid w:val="007B6DDF"/>
    <w:rsid w:val="007C0119"/>
    <w:rsid w:val="007F11F4"/>
    <w:rsid w:val="007F1D9E"/>
    <w:rsid w:val="007F7528"/>
    <w:rsid w:val="007F7F29"/>
    <w:rsid w:val="00821485"/>
    <w:rsid w:val="008238E8"/>
    <w:rsid w:val="00827BA3"/>
    <w:rsid w:val="00834301"/>
    <w:rsid w:val="00840D11"/>
    <w:rsid w:val="00852473"/>
    <w:rsid w:val="00856125"/>
    <w:rsid w:val="0087161C"/>
    <w:rsid w:val="008779B5"/>
    <w:rsid w:val="008821C2"/>
    <w:rsid w:val="008831FE"/>
    <w:rsid w:val="008835FF"/>
    <w:rsid w:val="008A0B1D"/>
    <w:rsid w:val="008A24F4"/>
    <w:rsid w:val="008A4623"/>
    <w:rsid w:val="008C058C"/>
    <w:rsid w:val="008C41FC"/>
    <w:rsid w:val="008C5C1D"/>
    <w:rsid w:val="008D7D89"/>
    <w:rsid w:val="008E1DE5"/>
    <w:rsid w:val="008F1699"/>
    <w:rsid w:val="00902F50"/>
    <w:rsid w:val="00904D83"/>
    <w:rsid w:val="0090652B"/>
    <w:rsid w:val="00910D89"/>
    <w:rsid w:val="00916CFB"/>
    <w:rsid w:val="00922B23"/>
    <w:rsid w:val="00942FA1"/>
    <w:rsid w:val="00944401"/>
    <w:rsid w:val="0096263A"/>
    <w:rsid w:val="0096502F"/>
    <w:rsid w:val="00973057"/>
    <w:rsid w:val="009753C3"/>
    <w:rsid w:val="009A2CA4"/>
    <w:rsid w:val="009B2A88"/>
    <w:rsid w:val="009B2B8C"/>
    <w:rsid w:val="009B3FB5"/>
    <w:rsid w:val="009C6F53"/>
    <w:rsid w:val="009D185C"/>
    <w:rsid w:val="009D7B18"/>
    <w:rsid w:val="009F0216"/>
    <w:rsid w:val="009F4629"/>
    <w:rsid w:val="00A02426"/>
    <w:rsid w:val="00A04B2F"/>
    <w:rsid w:val="00A04CCE"/>
    <w:rsid w:val="00A079AF"/>
    <w:rsid w:val="00A1155E"/>
    <w:rsid w:val="00A13454"/>
    <w:rsid w:val="00A1655B"/>
    <w:rsid w:val="00A17BF0"/>
    <w:rsid w:val="00A17BF6"/>
    <w:rsid w:val="00A26714"/>
    <w:rsid w:val="00A602C4"/>
    <w:rsid w:val="00A83923"/>
    <w:rsid w:val="00A84B91"/>
    <w:rsid w:val="00AA08F5"/>
    <w:rsid w:val="00AA3413"/>
    <w:rsid w:val="00AB2AD9"/>
    <w:rsid w:val="00AB66E4"/>
    <w:rsid w:val="00AB7022"/>
    <w:rsid w:val="00AC7324"/>
    <w:rsid w:val="00AD1BC2"/>
    <w:rsid w:val="00AD3062"/>
    <w:rsid w:val="00AD4C1E"/>
    <w:rsid w:val="00AE3A47"/>
    <w:rsid w:val="00AF68AB"/>
    <w:rsid w:val="00B00B74"/>
    <w:rsid w:val="00B03226"/>
    <w:rsid w:val="00B12912"/>
    <w:rsid w:val="00B231E6"/>
    <w:rsid w:val="00B32F0E"/>
    <w:rsid w:val="00B33900"/>
    <w:rsid w:val="00B34205"/>
    <w:rsid w:val="00B351EF"/>
    <w:rsid w:val="00B375A9"/>
    <w:rsid w:val="00B47D3F"/>
    <w:rsid w:val="00B52252"/>
    <w:rsid w:val="00B63975"/>
    <w:rsid w:val="00B64D6D"/>
    <w:rsid w:val="00B73F1A"/>
    <w:rsid w:val="00B75C14"/>
    <w:rsid w:val="00B76F94"/>
    <w:rsid w:val="00B81BA3"/>
    <w:rsid w:val="00B87FA1"/>
    <w:rsid w:val="00BA40E3"/>
    <w:rsid w:val="00BA7085"/>
    <w:rsid w:val="00BB1B04"/>
    <w:rsid w:val="00BB7F0F"/>
    <w:rsid w:val="00BC103E"/>
    <w:rsid w:val="00BC67F4"/>
    <w:rsid w:val="00BC6F1B"/>
    <w:rsid w:val="00BD1B98"/>
    <w:rsid w:val="00BE51B9"/>
    <w:rsid w:val="00BF7931"/>
    <w:rsid w:val="00C10BC0"/>
    <w:rsid w:val="00C31030"/>
    <w:rsid w:val="00C46637"/>
    <w:rsid w:val="00C770E4"/>
    <w:rsid w:val="00C80A35"/>
    <w:rsid w:val="00C80E3D"/>
    <w:rsid w:val="00C81EAA"/>
    <w:rsid w:val="00C908F8"/>
    <w:rsid w:val="00C912CE"/>
    <w:rsid w:val="00C9480C"/>
    <w:rsid w:val="00C95196"/>
    <w:rsid w:val="00CA6798"/>
    <w:rsid w:val="00CA6FEA"/>
    <w:rsid w:val="00CC290C"/>
    <w:rsid w:val="00CC2BB7"/>
    <w:rsid w:val="00CD0844"/>
    <w:rsid w:val="00CD1083"/>
    <w:rsid w:val="00CD3B9F"/>
    <w:rsid w:val="00CE57AA"/>
    <w:rsid w:val="00CF1769"/>
    <w:rsid w:val="00D06199"/>
    <w:rsid w:val="00D064BE"/>
    <w:rsid w:val="00D14EBD"/>
    <w:rsid w:val="00D1544C"/>
    <w:rsid w:val="00D20F3B"/>
    <w:rsid w:val="00D2412C"/>
    <w:rsid w:val="00D27442"/>
    <w:rsid w:val="00D30B10"/>
    <w:rsid w:val="00D30C6B"/>
    <w:rsid w:val="00D3765C"/>
    <w:rsid w:val="00D45D70"/>
    <w:rsid w:val="00D549BC"/>
    <w:rsid w:val="00D57169"/>
    <w:rsid w:val="00D65EFE"/>
    <w:rsid w:val="00D87F70"/>
    <w:rsid w:val="00D953A3"/>
    <w:rsid w:val="00D956D8"/>
    <w:rsid w:val="00D96DB3"/>
    <w:rsid w:val="00D97066"/>
    <w:rsid w:val="00D97B7B"/>
    <w:rsid w:val="00DA6530"/>
    <w:rsid w:val="00DB58B8"/>
    <w:rsid w:val="00DB6655"/>
    <w:rsid w:val="00DC666F"/>
    <w:rsid w:val="00DD2602"/>
    <w:rsid w:val="00DD44F5"/>
    <w:rsid w:val="00DD6C2B"/>
    <w:rsid w:val="00DE0C2B"/>
    <w:rsid w:val="00DE2F3F"/>
    <w:rsid w:val="00DF5F61"/>
    <w:rsid w:val="00DF7019"/>
    <w:rsid w:val="00DF78AB"/>
    <w:rsid w:val="00E029C1"/>
    <w:rsid w:val="00E064DB"/>
    <w:rsid w:val="00E070A0"/>
    <w:rsid w:val="00E11F78"/>
    <w:rsid w:val="00E12F92"/>
    <w:rsid w:val="00E158A2"/>
    <w:rsid w:val="00E32C98"/>
    <w:rsid w:val="00E44CEB"/>
    <w:rsid w:val="00E50922"/>
    <w:rsid w:val="00E6229E"/>
    <w:rsid w:val="00E708E2"/>
    <w:rsid w:val="00E7097E"/>
    <w:rsid w:val="00E713B4"/>
    <w:rsid w:val="00E8162E"/>
    <w:rsid w:val="00E84EB8"/>
    <w:rsid w:val="00E96CF0"/>
    <w:rsid w:val="00EA31C2"/>
    <w:rsid w:val="00EC56CB"/>
    <w:rsid w:val="00EE22C0"/>
    <w:rsid w:val="00EF477F"/>
    <w:rsid w:val="00EF6634"/>
    <w:rsid w:val="00F07207"/>
    <w:rsid w:val="00F2475B"/>
    <w:rsid w:val="00F32FCB"/>
    <w:rsid w:val="00F3469F"/>
    <w:rsid w:val="00F52BCC"/>
    <w:rsid w:val="00F611ED"/>
    <w:rsid w:val="00F75D61"/>
    <w:rsid w:val="00F810A4"/>
    <w:rsid w:val="00F87224"/>
    <w:rsid w:val="00F9070A"/>
    <w:rsid w:val="00F909D5"/>
    <w:rsid w:val="00F91708"/>
    <w:rsid w:val="00F92D5F"/>
    <w:rsid w:val="00F97B87"/>
    <w:rsid w:val="00FA247C"/>
    <w:rsid w:val="00FA450F"/>
    <w:rsid w:val="00FA638E"/>
    <w:rsid w:val="00FA7D52"/>
    <w:rsid w:val="00FB67CD"/>
    <w:rsid w:val="00FB7A1C"/>
    <w:rsid w:val="00FC3BF8"/>
    <w:rsid w:val="00FD6475"/>
    <w:rsid w:val="00FD68C4"/>
    <w:rsid w:val="00FD6DED"/>
    <w:rsid w:val="00FE1A66"/>
    <w:rsid w:val="00FE7ED9"/>
    <w:rsid w:val="00FF3605"/>
    <w:rsid w:val="00FF39D0"/>
    <w:rsid w:val="00FF3A8D"/>
    <w:rsid w:val="00FF7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01F4A3-A336-4419-A21E-3EE02F75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07"/>
    <w:pPr>
      <w:spacing w:after="0" w:line="240" w:lineRule="atLeas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62"/>
  </w:style>
  <w:style w:type="character" w:customStyle="1" w:styleId="HeaderChar">
    <w:name w:val="Header Char"/>
    <w:basedOn w:val="DefaultParagraphFont"/>
    <w:link w:val="Header"/>
    <w:uiPriority w:val="99"/>
    <w:rsid w:val="00AD3062"/>
    <w:rPr>
      <w:sz w:val="20"/>
      <w:szCs w:val="20"/>
    </w:rPr>
  </w:style>
  <w:style w:type="paragraph" w:styleId="Footer">
    <w:name w:val="footer"/>
    <w:basedOn w:val="Normal"/>
    <w:link w:val="FooterChar"/>
    <w:uiPriority w:val="99"/>
    <w:unhideWhenUsed/>
    <w:rsid w:val="00AD3062"/>
  </w:style>
  <w:style w:type="character" w:customStyle="1" w:styleId="FooterChar">
    <w:name w:val="Footer Char"/>
    <w:basedOn w:val="DefaultParagraphFont"/>
    <w:link w:val="Footer"/>
    <w:uiPriority w:val="99"/>
    <w:rsid w:val="00AD3062"/>
    <w:rPr>
      <w:sz w:val="20"/>
      <w:szCs w:val="20"/>
    </w:rPr>
  </w:style>
  <w:style w:type="character" w:styleId="Hyperlink">
    <w:name w:val="Hyperlink"/>
    <w:basedOn w:val="DefaultParagraphFont"/>
    <w:uiPriority w:val="99"/>
    <w:unhideWhenUsed/>
    <w:rsid w:val="00017C0F"/>
    <w:rPr>
      <w:color w:val="auto"/>
      <w:u w:val="none"/>
    </w:rPr>
  </w:style>
  <w:style w:type="character" w:styleId="FollowedHyperlink">
    <w:name w:val="FollowedHyperlink"/>
    <w:basedOn w:val="DefaultParagraphFont"/>
    <w:uiPriority w:val="99"/>
    <w:semiHidden/>
    <w:unhideWhenUsed/>
    <w:rsid w:val="00017C0F"/>
    <w:rPr>
      <w:color w:val="auto"/>
      <w:u w:val="none"/>
    </w:rPr>
  </w:style>
  <w:style w:type="paragraph" w:styleId="ListParagraph">
    <w:name w:val="List Paragraph"/>
    <w:basedOn w:val="Normal"/>
    <w:uiPriority w:val="34"/>
    <w:qFormat/>
    <w:rsid w:val="002870E7"/>
    <w:pPr>
      <w:ind w:left="720"/>
      <w:contextualSpacing/>
    </w:pPr>
  </w:style>
  <w:style w:type="table" w:styleId="TableGrid">
    <w:name w:val="Table Grid"/>
    <w:basedOn w:val="Table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ListParagraph"/>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ListParagraph"/>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rsid w:val="00E816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ubhead">
    <w:name w:val="Subhead"/>
    <w:basedOn w:val="Normal"/>
    <w:next w:val="Normal"/>
    <w:uiPriority w:val="9"/>
    <w:qFormat/>
    <w:rsid w:val="00BB7F0F"/>
    <w:pPr>
      <w:keepNext/>
      <w:keepLines/>
    </w:pPr>
    <w:rPr>
      <w:b/>
    </w:rPr>
  </w:style>
  <w:style w:type="character" w:customStyle="1" w:styleId="apple-converted-space">
    <w:name w:val="apple-converted-space"/>
    <w:basedOn w:val="DefaultParagraphFont"/>
    <w:rsid w:val="00F52BCC"/>
  </w:style>
  <w:style w:type="character" w:styleId="CommentReference">
    <w:name w:val="annotation reference"/>
    <w:basedOn w:val="DefaultParagraphFont"/>
    <w:semiHidden/>
    <w:unhideWhenUsed/>
    <w:rsid w:val="00131A10"/>
    <w:rPr>
      <w:sz w:val="16"/>
      <w:szCs w:val="16"/>
    </w:rPr>
  </w:style>
  <w:style w:type="paragraph" w:styleId="CommentText">
    <w:name w:val="annotation text"/>
    <w:basedOn w:val="Normal"/>
    <w:link w:val="CommentTextChar"/>
    <w:uiPriority w:val="99"/>
    <w:unhideWhenUsed/>
    <w:rsid w:val="00131A10"/>
    <w:pPr>
      <w:spacing w:line="240" w:lineRule="auto"/>
    </w:pPr>
  </w:style>
  <w:style w:type="character" w:customStyle="1" w:styleId="CommentTextChar">
    <w:name w:val="Comment Text Char"/>
    <w:basedOn w:val="DefaultParagraphFont"/>
    <w:link w:val="CommentText"/>
    <w:uiPriority w:val="99"/>
    <w:rsid w:val="00131A10"/>
    <w:rPr>
      <w:sz w:val="20"/>
      <w:szCs w:val="20"/>
    </w:rPr>
  </w:style>
  <w:style w:type="paragraph" w:styleId="CommentSubject">
    <w:name w:val="annotation subject"/>
    <w:basedOn w:val="CommentText"/>
    <w:next w:val="CommentText"/>
    <w:link w:val="CommentSubjectChar"/>
    <w:uiPriority w:val="99"/>
    <w:semiHidden/>
    <w:unhideWhenUsed/>
    <w:rsid w:val="00131A10"/>
    <w:rPr>
      <w:b/>
      <w:bCs/>
    </w:rPr>
  </w:style>
  <w:style w:type="character" w:customStyle="1" w:styleId="CommentSubjectChar">
    <w:name w:val="Comment Subject Char"/>
    <w:basedOn w:val="CommentTextChar"/>
    <w:link w:val="CommentSubject"/>
    <w:uiPriority w:val="99"/>
    <w:semiHidden/>
    <w:rsid w:val="00131A10"/>
    <w:rPr>
      <w:b/>
      <w:bCs/>
      <w:sz w:val="20"/>
      <w:szCs w:val="20"/>
    </w:rPr>
  </w:style>
  <w:style w:type="paragraph" w:styleId="BalloonText">
    <w:name w:val="Balloon Text"/>
    <w:basedOn w:val="Normal"/>
    <w:link w:val="BalloonTextChar"/>
    <w:uiPriority w:val="99"/>
    <w:semiHidden/>
    <w:unhideWhenUsed/>
    <w:rsid w:val="00131A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10"/>
    <w:rPr>
      <w:rFonts w:ascii="Segoe UI" w:hAnsi="Segoe UI" w:cs="Segoe UI"/>
      <w:sz w:val="18"/>
      <w:szCs w:val="18"/>
    </w:rPr>
  </w:style>
  <w:style w:type="paragraph" w:customStyle="1" w:styleId="EndNoteBibliography">
    <w:name w:val="EndNote Bibliography"/>
    <w:basedOn w:val="Normal"/>
    <w:link w:val="EndNoteBibliographyChar"/>
    <w:rsid w:val="00773842"/>
    <w:pPr>
      <w:spacing w:line="240" w:lineRule="auto"/>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77384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1763">
      <w:bodyDiv w:val="1"/>
      <w:marLeft w:val="0"/>
      <w:marRight w:val="0"/>
      <w:marTop w:val="0"/>
      <w:marBottom w:val="0"/>
      <w:divBdr>
        <w:top w:val="none" w:sz="0" w:space="0" w:color="auto"/>
        <w:left w:val="none" w:sz="0" w:space="0" w:color="auto"/>
        <w:bottom w:val="none" w:sz="0" w:space="0" w:color="auto"/>
        <w:right w:val="none" w:sz="0" w:space="0" w:color="auto"/>
      </w:divBdr>
    </w:div>
    <w:div w:id="2011516166">
      <w:bodyDiv w:val="1"/>
      <w:marLeft w:val="0"/>
      <w:marRight w:val="0"/>
      <w:marTop w:val="0"/>
      <w:marBottom w:val="0"/>
      <w:divBdr>
        <w:top w:val="none" w:sz="0" w:space="0" w:color="auto"/>
        <w:left w:val="none" w:sz="0" w:space="0" w:color="auto"/>
        <w:bottom w:val="none" w:sz="0" w:space="0" w:color="auto"/>
        <w:right w:val="none" w:sz="0" w:space="0" w:color="auto"/>
      </w:divBdr>
    </w:div>
    <w:div w:id="2031683488">
      <w:bodyDiv w:val="1"/>
      <w:marLeft w:val="0"/>
      <w:marRight w:val="0"/>
      <w:marTop w:val="0"/>
      <w:marBottom w:val="0"/>
      <w:divBdr>
        <w:top w:val="none" w:sz="0" w:space="0" w:color="auto"/>
        <w:left w:val="none" w:sz="0" w:space="0" w:color="auto"/>
        <w:bottom w:val="none" w:sz="0" w:space="0" w:color="auto"/>
        <w:right w:val="none" w:sz="0" w:space="0" w:color="auto"/>
      </w:divBdr>
    </w:div>
    <w:div w:id="20817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novartis" TargetMode="External"/><Relationship Id="rId13" Type="http://schemas.openxmlformats.org/officeDocument/2006/relationships/hyperlink" Target="https://www.mstrust.org.uk/a-z/expanded-disability-status-scale-eds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ovartis.com/" TargetMode="External"/><Relationship Id="rId12" Type="http://schemas.openxmlformats.org/officeDocument/2006/relationships/hyperlink" Target="https://clinicaltrials.gov/ct2/show/NCT01665144?term=BAF312+expand&amp;rank=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sif.org/wp-content/uploads/2014/09/Atlas-of-M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society.org.uk/what-is-ms/types-of-ms/secondary-progressive-spms" TargetMode="External"/><Relationship Id="rId5" Type="http://schemas.openxmlformats.org/officeDocument/2006/relationships/footnotes" Target="footnotes.xml"/><Relationship Id="rId15" Type="http://schemas.openxmlformats.org/officeDocument/2006/relationships/hyperlink" Target="http://www.nationalmssociety.org/What-is-MS/Types-of-MS" TargetMode="External"/><Relationship Id="rId10" Type="http://schemas.openxmlformats.org/officeDocument/2006/relationships/hyperlink" Target="mailto:media.relations@novarti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artis.com/news/media-library" TargetMode="External"/><Relationship Id="rId14" Type="http://schemas.openxmlformats.org/officeDocument/2006/relationships/hyperlink" Target="http://www.ncbi.nlm.nih.gov/pubmedhealth/PMHT002431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ovartis.gr" TargetMode="External"/></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2787</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Novartis Letter</vt:lpstr>
    </vt:vector>
  </TitlesOfParts>
  <Company>Novartis</Company>
  <LinksUpToDate>false</LinksUpToDate>
  <CharactersWithSpaces>17802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Novartis</dc:creator>
  <cp:lastModifiedBy>Matina Tzortzi</cp:lastModifiedBy>
  <cp:revision>10</cp:revision>
  <cp:lastPrinted>2016-09-02T08:05:00Z</cp:lastPrinted>
  <dcterms:created xsi:type="dcterms:W3CDTF">2016-09-21T17:32:00Z</dcterms:created>
  <dcterms:modified xsi:type="dcterms:W3CDTF">2016-09-23T12:54:00Z</dcterms:modified>
</cp:coreProperties>
</file>